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8" w:right="-1418"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TERMO DE JUSTIFICATIVAS TÉCNICAS RELEVANTES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8" w:right="-1418"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OBRAS/SERVIÇOS DE ENGENHARIA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NUP N. ________________________________________________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OBJETO: 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OBSERVAÇÃO 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Este termo contém e antecipa 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orientações jurídicas mais comuns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emitidas nas análises de licitações de obras e serviços de engenharia. Acaba sendo também um roteiro com os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requisitos da instrução processual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sem prejuízo da Lista de Verificação e do Instrumento de Padronização dos Procedimentos de Contratação da AGU.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OBSERVAÇÃO 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Todos os tópicos devem ser analisados, preenchidos e assinados por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profissional habilitado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 acordo com as competências atribuídas pela Lei n. 5.194, de 1966, e as Resoluções do Conselho Federal de Engenharia e Agricultura – CONFEA, Lei n. 12.378, de 2010, e as Resoluções do Conselho de Arquitetura e Urbanismo – CAU, ou pela Lei n. 13.639, de 2018, e as Resoluções do Conselho Federal dos Técnicos Industriais – CFT.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OBSERVAÇÃO 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Alguns tópicos necessitam, além da marcação do espaço entre parênteses, da apresentação da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 técnica detalhada contendo as razões que motivam a opção adotada para o caso concreto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não podendo, portanto, ser genérica nem abstrata.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OBSERVAÇÃO 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ausência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deste termo ou de justificativas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pode acarretar a devolução dos autos sem análise conclusiva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ou ressalva no Parecer jurídico, cujo atendimento será imprescindível para o prosseguimento do feito.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OBSERVAÇÃO 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o correto preenchimento, é indispensável 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leitura das Notas Explicativas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deste documento, cujo conteúdo consta após as justificativas, mas também pode ser acessado por meio do link inserido ao final de cada tópico.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OBSERVAÇÃO 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Devem ser juntadas ao processo as “Declarações e Justificativas”; não é necessário juntar aos autos a parte do arquivo correspondente às “Notas Explicativas”.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8" w:right="-1418"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8" w:right="-1418"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SUMÁRIO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8" w:right="-1418"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TERMO DE JUSTIFICATIVAS TÉCNICAS RELEVANTES</w:t>
              <w:tab/>
              <w:t xml:space="preserve">1</w:t>
            </w:r>
          </w:hyperlink>
          <w:r w:rsidDel="00000000" w:rsidR="00000000" w:rsidRPr="00000000">
            <w:fldChar w:fldCharType="begin"/>
            <w:instrText xml:space="preserve"> HYPERLINK \l "_heading=h.gjdgxs" </w:instrText>
            <w:fldChar w:fldCharType="separate"/>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hyperlink w:anchor="_heading=h.30j0zll">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SUMÁRIO</w:t>
              <w:tab/>
              <w:t xml:space="preserve">2</w:t>
            </w:r>
          </w:hyperlink>
          <w:r w:rsidDel="00000000" w:rsidR="00000000" w:rsidRPr="00000000">
            <w:fldChar w:fldCharType="begin"/>
            <w:instrText xml:space="preserve"> HYPERLINK \l "_heading=h.30j0zll" </w:instrText>
            <w:fldChar w:fldCharType="separat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hyperlink w:anchor="_heading=h.1fob9te">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DECLARAÇÕES E JUSTIFICATIVAS TÉCNICAS</w:t>
              <w:tab/>
              <w:t xml:space="preserve">4</w:t>
            </w:r>
          </w:hyperlink>
          <w:r w:rsidDel="00000000" w:rsidR="00000000" w:rsidRPr="00000000">
            <w:fldChar w:fldCharType="begin"/>
            <w:instrText xml:space="preserve"> HYPERLINK \l "_heading=h.1fob9te" </w:instrText>
            <w:fldChar w:fldCharType="separate"/>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"_heading=h.3znysh7"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tab/>
            <w:t xml:space="preserve">ENQUADRAMENTO DO OBJETO</w:t>
            <w:tab/>
            <w:t xml:space="preserve">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"_heading=h.tyjcwt"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 Classificação como obra ou serviço de engenharia</w:t>
            <w:tab/>
            <w:t xml:space="preserve">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"_heading=h.3dy6vkm"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 Classificação como serviço comum ou especial</w:t>
            <w:tab/>
            <w:t xml:space="preserve">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"_heading=h.1t3h5sf"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tab/>
            <w:t xml:space="preserve">REGIMES DE EXECUÇÃO</w:t>
            <w:tab/>
            <w:t xml:space="preserve">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"_heading=h.2s8eyo1"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tab/>
            <w:t xml:space="preserve">ELABORAÇÃO DE PROJETOS / DOCUMENTOS TÉCNICOS POR PROFISSIONAL HABILITADO E COMPROVAÇÃO DE RESPONSABILIDADE TÉCNICA</w:t>
            <w:tab/>
            <w:t xml:space="preserve">6</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"_heading=h.3rdcrjn"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tab/>
            <w:t xml:space="preserve">DEFINIÇÃO DOS CUSTOS UNITÁRIOS DE REFERÊNCIA</w:t>
            <w:tab/>
            <w:t xml:space="preserve">7</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"_heading=h.35nkun2"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tab/>
            <w:t xml:space="preserve">ORÇAMENTO DETALHADO EM PLANILHAS DE CUSTOS UNITÁRIOS</w:t>
            <w:tab/>
            <w:t xml:space="preserve">8</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"_heading=h.44sinio"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w:t>
            <w:tab/>
            <w:t xml:space="preserve">ELABORAÇÃO DAS COMPOSIÇÕES DE CUSTOS UNITÁRIOS</w:t>
            <w:tab/>
            <w:t xml:space="preserve">8</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"_heading=h.z337ya"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w:t>
            <w:tab/>
            <w:t xml:space="preserve">CUSTOS DIRETOS</w:t>
            <w:tab/>
            <w:t xml:space="preserve">9</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"_heading=h.1y810tw"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w:t>
            <w:tab/>
            <w:t xml:space="preserve">ELABORAÇÃO DAS CURVAS ABC DOS SERVIÇOS E INSUMOS</w:t>
            <w:tab/>
            <w:t xml:space="preserve">10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"_heading=h.2xcytpi"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w:t>
            <w:tab/>
            <w:t xml:space="preserve">ADOÇÃO DO REGIME DE DESONERAÇÃO TRIBUTÁRIA</w:t>
            <w:tab/>
            <w:t xml:space="preserve">10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"_heading=h.3whwml4"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tab/>
            <w:t xml:space="preserve">DETALHAMENTO DA COMPOSIÇÃO DO PERCENTUAL DE BDI</w:t>
            <w:tab/>
            <w:t xml:space="preserve">11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"_heading=h.qsh70q"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w:t>
            <w:tab/>
            <w:t xml:space="preserve">BDI REDUZIDO SOBRE OS CUSTOS DOS MATERIAIS E EQUIPAMENTOS</w:t>
            <w:tab/>
            <w:t xml:space="preserve">12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"_heading=h.1pxezwc"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w:t>
            <w:tab/>
            <w:t xml:space="preserve">ELABORAÇÃO DE CRONOGRAMA FÍSICO-FINANCEIRO</w:t>
            <w:tab/>
            <w:t xml:space="preserve">13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"_heading=h.2p2csry"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w:t>
            <w:tab/>
            <w:t xml:space="preserve">PROJETO EXECUTIVO</w:t>
            <w:tab/>
            <w:t xml:space="preserve">14</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"_heading=h.3o7alnk"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14.</w:t>
            <w:tab/>
            <w:t xml:space="preserve">QUALIFICAÇÃO TÉCNICA</w:t>
            <w:tab/>
            <w:t xml:space="preserve">14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"_heading=h.ihv636"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w:t>
            <w:tab/>
            <w:t xml:space="preserve">VISTORIA</w:t>
            <w:tab/>
            <w:t xml:space="preserve">17</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"_heading=h.1hmsyys"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w:t>
            <w:tab/>
            <w:t xml:space="preserve">SUBCONTRATAÇÃO</w:t>
            <w:tab/>
            <w:t xml:space="preserve">18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"_heading=h.2grqrue"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17.</w:t>
            <w:tab/>
            <w:t xml:space="preserve">DEFINIÇÃO DO PERCENTUAL DE CAPITAL OU PATRIMÔNIO LÍQUIDO MÍNIMO</w:t>
            <w:tab/>
            <w:t xml:space="preserve">18</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"_heading=h.3fwokq0"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18.</w:t>
            <w:tab/>
            <w:t xml:space="preserve">PARTICIPAÇÃO DE CONSÓRCIOS</w:t>
            <w:tab/>
            <w:t xml:space="preserve">18</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"_heading=h.4f1mdlm"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19.</w:t>
            <w:tab/>
            <w:t xml:space="preserve">PARTICIPAÇÃO DE COOPERATIVAS</w:t>
            <w:tab/>
            <w:t xml:space="preserve">19</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"_heading=h.19c6y18"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w:t>
            <w:tab/>
            <w:t xml:space="preserve">GARANTIA DA EXECUÇÃO</w:t>
            <w:tab/>
            <w:t xml:space="preserve">19</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"_heading=h.28h4qwu"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w:t>
            <w:tab/>
            <w:t xml:space="preserve">DA SUSTENTABILIDADE</w:t>
            <w:tab/>
            <w:t xml:space="preserve">19</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hyperlink w:anchor="_heading=h.37m2jsg">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NOTAS EXPLICATIVAS</w:t>
              <w:tab/>
              <w:t xml:space="preserve">20</w:t>
            </w:r>
          </w:hyperlink>
          <w:r w:rsidDel="00000000" w:rsidR="00000000" w:rsidRPr="00000000">
            <w:fldChar w:fldCharType="begin"/>
            <w:instrText xml:space="preserve"> HYPERLINK \l "_heading=h.37m2jsg" </w:instrText>
            <w:fldChar w:fldCharType="separate"/>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"_heading=h.2lwamvv"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tab/>
            <w:t xml:space="preserve">ENQUADRAMENTO DO OBJETO</w:t>
            <w:tab/>
            <w:t xml:space="preserve">20</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"_heading=h.111kx3o"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w:t>
            <w:tab/>
            <w:t xml:space="preserve">Classificação como obra ou serviço de engenharia</w:t>
            <w:tab/>
            <w:t xml:space="preserve">20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"_heading=h.206ipza"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w:t>
            <w:tab/>
            <w:t xml:space="preserve">Classificação como serviço comum ou especial</w:t>
            <w:tab/>
            <w:t xml:space="preserve">22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"_heading=h.1egqt2p"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tab/>
            <w:t xml:space="preserve">REGIMES DE EXECUÇÃO</w:t>
            <w:tab/>
            <w:t xml:space="preserve">23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"_heading=h.1664s55"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w:t>
            <w:tab/>
            <w:t xml:space="preserve">Empreitada por Preço Unitário</w:t>
            <w:tab/>
            <w:t xml:space="preserve">23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"_heading=h.3q5sasy"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w:t>
            <w:tab/>
            <w:t xml:space="preserve">Empreitada por Preço Global</w:t>
            <w:tab/>
            <w:t xml:space="preserve">23</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"_heading=h.kgcv8k"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2.3.</w:t>
            <w:tab/>
            <w:t xml:space="preserve">Empreitada Integral</w:t>
            <w:tab/>
            <w:t xml:space="preserve">24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"_heading=h.34g0dwd"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2.4.</w:t>
            <w:tab/>
            <w:t xml:space="preserve">Contratação Por Tarefa</w:t>
            <w:tab/>
            <w:t xml:space="preserve">25</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"_heading=h.1jlao46"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w:t>
            <w:tab/>
            <w:t xml:space="preserve">Contratação Integrada</w:t>
            <w:tab/>
            <w:t xml:space="preserve">26</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"_heading=h.4h042r0"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2.6.</w:t>
            <w:tab/>
            <w:t xml:space="preserve">Contratação Semi-Integrada</w:t>
            <w:tab/>
            <w:t xml:space="preserve">27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"_heading=h.2w5ecyt"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2.7.</w:t>
            <w:tab/>
            <w:t xml:space="preserve">Fornecimento e prestação de serviço associado</w:t>
            <w:tab/>
            <w:t xml:space="preserve">27</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"_heading=h.1baon6m"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2.8.</w:t>
            <w:tab/>
            <w:t xml:space="preserve">Subestimativas e superestimativas técnicas relevantes</w:t>
            <w:tab/>
            <w:t xml:space="preserve">28</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"_heading=h.2afmg28"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tab/>
            <w:t xml:space="preserve">ELABORAÇÃO DE PROJETO / DOCUMENTOS TÉCNICOS POR PROFISSIONAL HABILITADO E COMPROVAÇÃO DE RESPONSABILIDADE TÉCNICA.</w:t>
            <w:tab/>
            <w:t xml:space="preserve">30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"_heading=h.39kk8xu"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tab/>
            <w:t xml:space="preserve">DEFINIÇÃO DOS CUSTOS UNITÁRIOS DE REFERÊNCIA</w:t>
            <w:tab/>
            <w:t xml:space="preserve">31</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"_heading=h.2nusc19"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tab/>
            <w:t xml:space="preserve">ORÇAMENTO DETALHADO EM PLANILHA DE CUSTOS UNITÁRIOS</w:t>
            <w:tab/>
            <w:t xml:space="preserve">32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"_heading=h.1302m92"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w:t>
            <w:tab/>
            <w:t xml:space="preserve">ELABORAÇÃO DAS COMPOSIÇÕES DE CUSTOS UNITÁRIOS</w:t>
            <w:tab/>
            <w:t xml:space="preserve">33</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"_heading=h.haapch"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w:t>
            <w:tab/>
            <w:t xml:space="preserve">CUSTOS DIRETOS</w:t>
            <w:tab/>
            <w:t xml:space="preserve">35</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"_heading=h.1gf8i83"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w:t>
            <w:tab/>
            <w:t xml:space="preserve">ELABORAÇÃO DAS CURVAS ABC DOS SERVIÇOS E INSUMOS</w:t>
            <w:tab/>
            <w:t xml:space="preserve">36</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"_heading=h.2fk6b3p"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w:t>
            <w:tab/>
            <w:t xml:space="preserve">ADOÇÃO DO REGIME DE DESONERAÇÃO TRIBUTÁRIA</w:t>
            <w:tab/>
            <w:t xml:space="preserve">37</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"_heading=h.3ep43zb"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tab/>
            <w:t xml:space="preserve">DETALHAMENTO DA COMPOSIÇÃO DO PERCENTUAL DE BDI.</w:t>
            <w:tab/>
            <w:t xml:space="preserve">38</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"_heading=h.4du1wux"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w:t>
            <w:tab/>
            <w:t xml:space="preserve">BDI REDUZIDO SOBRE OS CUSTOS DOS MATERIAIS E EQUIPAMENTOS</w:t>
            <w:tab/>
            <w:t xml:space="preserve">40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"_heading=h.3s49zyc"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w:t>
            <w:tab/>
            <w:t xml:space="preserve">ELABORAÇÃO DE CRONOGRAMA FÍSICO-FINANCEIRO</w:t>
            <w:tab/>
            <w:t xml:space="preserve">40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"_heading=h.meukdy"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w:t>
            <w:tab/>
            <w:t xml:space="preserve">PROJETO EXECUTIVO</w:t>
            <w:tab/>
            <w:t xml:space="preserve">41</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"_heading=h.1ljsd9k"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14.</w:t>
            <w:tab/>
            <w:t xml:space="preserve">QUALIFICAÇÃO TÉCNICA</w:t>
            <w:tab/>
            <w:t xml:space="preserve">42</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"_heading=h.2koq656"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w:t>
            <w:tab/>
            <w:t xml:space="preserve">VISTORIA</w:t>
            <w:tab/>
            <w:t xml:space="preserve">47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"_heading=h.3jtnz0s"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w:t>
            <w:tab/>
            <w:t xml:space="preserve">SUBCONTRATAÇÃO</w:t>
            <w:tab/>
            <w:t xml:space="preserve">47</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"_heading=h.4iylrwe"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17.</w:t>
            <w:tab/>
            <w:t xml:space="preserve">DEFINIÇÃO DO PERCENTUAL DE CAPITAL OU PATRIMÔNIO LÍQUIDO MÍNIMO</w:t>
            <w:tab/>
            <w:t xml:space="preserve">49</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"_heading=h.1d96cc0"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18.</w:t>
            <w:tab/>
            <w:t xml:space="preserve">PARTICIPAÇÃO DE CONSÓRCIOS</w:t>
            <w:tab/>
            <w:t xml:space="preserve">50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"_heading=h.2ce457m"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19.</w:t>
            <w:tab/>
            <w:t xml:space="preserve">PARTICIPAÇÃO DE COOPERATIVAS</w:t>
            <w:tab/>
            <w:t xml:space="preserve">50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"_heading=h.3bj1y38"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w:t>
            <w:tab/>
            <w:t xml:space="preserve">GARANTIA DA EXECUÇÃO</w:t>
            <w:tab/>
            <w:t xml:space="preserve">52</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60"/>
            </w:tabs>
            <w:spacing w:after="0" w:before="0" w:line="360" w:lineRule="auto"/>
            <w:ind w:left="2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"_heading=h.4anzqyu"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w:t>
            <w:tab/>
            <w:t xml:space="preserve">DA SUSTENTABILIDADE</w:t>
            <w:tab/>
            <w:t xml:space="preserve">54</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14ykbeg">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21.1.</w:t>
              <w:tab/>
              <w:t xml:space="preserve">Desenvolvimento nacional sustentável: critérios de sustentabilidade</w:t>
              <w:tab/>
              <w:t xml:space="preserve">54</w:t>
            </w:r>
          </w:hyperlink>
          <w:r w:rsidDel="00000000" w:rsidR="00000000" w:rsidRPr="00000000">
            <w:fldChar w:fldCharType="begin"/>
            <w:instrText xml:space="preserve"> HYPERLINK \l "_heading=h.14ykbeg" </w:instrText>
            <w:fldChar w:fldCharType="separate"/>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243i4a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21.2.</w:t>
              <w:tab/>
              <w:t xml:space="preserve">Da Especificação Técnica</w:t>
              <w:tab/>
              <w:t xml:space="preserve">55</w:t>
            </w:r>
          </w:hyperlink>
          <w:r w:rsidDel="00000000" w:rsidR="00000000" w:rsidRPr="00000000">
            <w:fldChar w:fldCharType="begin"/>
            <w:instrText xml:space="preserve"> HYPERLINK \l "_heading=h.243i4a2" </w:instrText>
            <w:fldChar w:fldCharType="separat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338fx5o">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21.3.</w:t>
              <w:tab/>
              <w:t xml:space="preserve">Da Minimização do Impacto</w:t>
              <w:tab/>
              <w:t xml:space="preserve">56</w:t>
            </w:r>
          </w:hyperlink>
          <w:r w:rsidDel="00000000" w:rsidR="00000000" w:rsidRPr="00000000">
            <w:fldChar w:fldCharType="begin"/>
            <w:instrText xml:space="preserve"> HYPERLINK \l "_heading=h.338fx5o" </w:instrText>
            <w:fldChar w:fldCharType="separate"/>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42ddq1a">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21.4.</w:t>
              <w:tab/>
              <w:t xml:space="preserve">Licenciamento Ambiental</w:t>
              <w:tab/>
              <w:t xml:space="preserve">56</w:t>
            </w:r>
          </w:hyperlink>
          <w:r w:rsidDel="00000000" w:rsidR="00000000" w:rsidRPr="00000000">
            <w:fldChar w:fldCharType="begin"/>
            <w:instrText xml:space="preserve"> HYPERLINK \l "_heading=h.42ddq1a" </w:instrText>
            <w:fldChar w:fldCharType="separate"/>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wnyagw">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21.5.</w:t>
              <w:tab/>
              <w:t xml:space="preserve">Dos Resíduos e Rejeitos</w:t>
              <w:tab/>
              <w:t xml:space="preserve">57</w:t>
            </w:r>
          </w:hyperlink>
          <w:r w:rsidDel="00000000" w:rsidR="00000000" w:rsidRPr="00000000">
            <w:fldChar w:fldCharType="begin"/>
            <w:instrText xml:space="preserve"> HYPERLINK \l "_heading=h.wnyagw" </w:instrText>
            <w:fldChar w:fldCharType="separat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1vsw3ci">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21.6.</w:t>
              <w:tab/>
              <w:t xml:space="preserve">Da Sustentabilidade como Política Transversal</w:t>
              <w:tab/>
              <w:t xml:space="preserve">57</w:t>
            </w:r>
          </w:hyperlink>
          <w:r w:rsidDel="00000000" w:rsidR="00000000" w:rsidRPr="00000000">
            <w:fldChar w:fldCharType="begin"/>
            <w:instrText xml:space="preserve"> HYPERLINK \l "_heading=h.1vsw3ci" </w:instrText>
            <w:fldChar w:fldCharType="separate"/>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80"/>
              <w:sz w:val="16"/>
              <w:szCs w:val="16"/>
              <w:u w:val="single"/>
              <w:shd w:fill="auto" w:val="clear"/>
              <w:vertAlign w:val="baseline"/>
            </w:rPr>
          </w:pPr>
          <w:r w:rsidDel="00000000" w:rsidR="00000000" w:rsidRPr="00000000">
            <w:fldChar w:fldCharType="end"/>
          </w:r>
          <w:hyperlink w:anchor="_heading=h.2uxtw8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21.7.</w:t>
              <w:tab/>
              <w:t xml:space="preserve">Da Política Nacional de Resíduos Sólidos</w:t>
              <w:tab/>
              <w:t xml:space="preserve">57</w:t>
            </w:r>
          </w:hyperlink>
          <w:r w:rsidDel="00000000" w:rsidR="00000000" w:rsidRPr="00000000">
            <w:fldChar w:fldCharType="begin"/>
            <w:instrText xml:space="preserve"> HYPERLINK \l "_heading=h.2uxtw84" </w:instrText>
            <w:fldChar w:fldCharType="separate"/>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none" w:pos="9060"/>
            </w:tabs>
            <w:spacing w:after="0" w:before="0" w:line="360"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"_heading=h.3u2rp3q" </w:instrText>
            <w:fldChar w:fldCharType="separate"/>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21.8.</w:t>
            <w:tab/>
            <w:t xml:space="preserve">Da Acessibilidade</w:t>
            <w:tab/>
            <w:t xml:space="preserve">57</w:t>
          </w:r>
        </w:p>
        <w:p w:rsidR="00000000" w:rsidDel="00000000" w:rsidP="00000000" w:rsidRDefault="00000000" w:rsidRPr="00000000" w14:paraId="0000006E">
          <w:pPr>
            <w:pageBreakBefore w:val="0"/>
            <w:widowControl w:val="1"/>
            <w:spacing w:after="0" w:line="360" w:lineRule="auto"/>
            <w:rPr>
              <w:rFonts w:ascii="Arial" w:cs="Arial" w:eastAsia="Arial" w:hAnsi="Arial"/>
              <w:sz w:val="16"/>
              <w:szCs w:val="16"/>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7" w:right="-141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7" w:right="-1417"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DECLARAÇÕES E JUSTIFICATIVAS TÉCNICAS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7" w:right="-14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bookmarkStart w:colFirst="0" w:colLast="0" w:name="bookmark=id.2et92p0" w:id="3"/>
    <w:bookmarkEnd w:id="3"/>
    <w:p w:rsidR="00000000" w:rsidDel="00000000" w:rsidP="00000000" w:rsidRDefault="00000000" w:rsidRPr="00000000" w14:paraId="00000089">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3znysh7" w:id="4"/>
      <w:bookmarkEnd w:id="4"/>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ENQUADRAMENTO DO OBJETO</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 Classificação como obra ou serviço de engenharia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objeto da presente licitação constitui (   ) OBRA / (   ) SERVIÇO DE ENGENHARIA, sob 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 Classificação como serviço comum ou especial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serviço de engenharia objeto da presente licitação é (   ) COMUM / (   ) ESPECIAL, sob 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80"/>
          <w:sz w:val="16"/>
          <w:szCs w:val="16"/>
          <w:u w:val="single"/>
          <w:shd w:fill="auto" w:val="clear"/>
          <w:vertAlign w:val="baseline"/>
        </w:rPr>
      </w:pPr>
      <w:hyperlink w:anchor="bookmark=id.46r0co2">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w:t>
        </w:r>
      </w:hyperlink>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4d34og8" w:id="7"/>
    <w:bookmarkEnd w:id="7"/>
    <w:p w:rsidR="00000000" w:rsidDel="00000000" w:rsidP="00000000" w:rsidRDefault="00000000" w:rsidRPr="00000000" w14:paraId="00000092">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1t3h5sf" w:id="8"/>
      <w:bookmarkEnd w:id="8"/>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REGIMES DE EXECUÇÃO</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a execução indireta do objeto, será adotado o seguinte regime, de acordo com 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abaixo: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empreitada por preço unitário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empreitada por preço global</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empreitada integral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contratação por tarefa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contratação integrada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contratação semi-integrada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fornecimento e prestação de serviço associado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Uma vez adotado o regime de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por preço global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integral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Projeto Básico (   ) DEFINIU as subestimativas e superestimativas técnicas relevantes dos serviços relativos à presente contratação, segundo as diretrizes do Acórdão n. 1.977/2013-Plenário TCU, adotando os seguintes parâmetros descritos no documento abaixo identificado: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Uma vez adotado o regime de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por preço global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integral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Projeto Básico (   ) NÃO DEFINIU as subestimativas e superestimativas técnicas relevantes dos serviços relativos à presente contratação, sob 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2zbgiuw">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2.</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17dp8vu" w:id="9"/>
    <w:bookmarkEnd w:id="9"/>
    <w:p w:rsidR="00000000" w:rsidDel="00000000" w:rsidP="00000000" w:rsidRDefault="00000000" w:rsidRPr="00000000" w14:paraId="000000A2">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2s8eyo1" w:id="10"/>
      <w:bookmarkEnd w:id="1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DE PROJETOS / DOCUMENTOS TÉCNICOS POR PROFISSIONAL HABILITADO E COMPROVAÇÃO DE RESPONSABILIDADE TÉCNICA</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presente feito, o (    ) Projeto Básico / documentos técnicos foram elaborados por profissional habilitado de (    ) engenharia, (    ) arquitetura ou (    ) técnico industrial, com a emissão da (    ) ART, (    ) RRT ou (    ) TRT.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presente feito, embora o Projeto Básico / documentos técnicos tenham sido elaborados por profissional habilitado de engenharia, arquitetura ou técnico industrial, (   )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NÃO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houve a emissão da ART, RRT ou TRT,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presente feito, o Projeto Básico / documentos técnicos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NÃO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foram elaborados por profissional habilitado de engenharia, arquitetura ou técnico industrial,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3vac5uf">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3.</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26in1rg" w:id="11"/>
    <w:bookmarkEnd w:id="11"/>
    <w:p w:rsidR="00000000" w:rsidDel="00000000" w:rsidP="00000000" w:rsidRDefault="00000000" w:rsidRPr="00000000" w14:paraId="000000AA">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3rdcrjn" w:id="12"/>
      <w:bookmarkEnd w:id="12"/>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DEFINIÇÃO DOS CUSTOS UNITÁRIOS DE REFERÊNCIA</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 observada a ordem prioritária dos parâmetros do art. 23, § 2º, da Lei n. 14.133, de 2021;</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FORAM adotados custos unitários menores ou iguais aos custos unitários de referência do SINAPI, para todos os itens relacionados à construção civil;</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FORAM adotados custos unitários superiores aos custos unitários de referência do SINAPI para determinados itens do orçamento, conforme justificativa do relatório técnico elaborado por profissional habilitado e aprovado pelo órgão gestor dos recursos.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orçamento da presente obra ou serviço, para os itens não contemplados no SINAPI, </w:t>
        <w:br w:type="textWrapping"/>
        <w:t xml:space="preserve">(      ) FORAM adotados custos obtidos das seguintes fontes admitidas no art. 23, § 2º, da Lei n. 14.133, de 2021, observada a ordem de prioridades nele estabelecida: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utilização de dados de pesquisa publicada em mídia especializada, de tabela de referência formalmente aprovada pelo Poder Executivo federal e de sítios eletrônicos especializados ou de domínio amplo, desde que contenham a data e a hora de acesso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citar as fontes e justificar a pertinência técnica da opção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contratações similares feitas pela Administração Pública, em execução ou concluídas no período de 1 (um) ano anterior à data da pesquisa de preços, observado o índice de atualização de preços correspondentes, sob a seguinte justificativa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citar as fontes, justificar metodologia e juntar a pesquisa aos autos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pesquisa na base nacional de notas fiscais eletrônicas, na forma do regulamento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apresentar justificativa e documentar a pesquisa nos autos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pkwqa1">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4.</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1ksv4uv" w:id="14"/>
    <w:bookmarkEnd w:id="14"/>
    <w:p w:rsidR="00000000" w:rsidDel="00000000" w:rsidP="00000000" w:rsidRDefault="00000000" w:rsidRPr="00000000" w14:paraId="000000B8">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35nkun2" w:id="15"/>
      <w:bookmarkEnd w:id="1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ORÇAMENTO DETALHADO EM PLANILHAS DE CUSTOS UNITÁRIOS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orçamento da presente obra ou serviço: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foi/foram juntadas a(s) (    ) planilha(s) sintética(s) e a(s) (   ) planilha(s) analítica(s)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foi/foram juntadas a(s) (    ) planilha(s) sintética(s) e a(s) (   ) planilha(s) analítica(s).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documento de responsabilidade técnica relativo às planilhas orçamentárias: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consta nos autos.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consta nos autos.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foi/foram utilizada(s) a(s) tabela(s) de referência mais atualizada(s).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foi/foram utilizada(s) a(s) tabela(s) de referência mais atualizada(s).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80"/>
          <w:sz w:val="16"/>
          <w:szCs w:val="16"/>
          <w:u w:val="single"/>
          <w:shd w:fill="auto" w:val="clear"/>
          <w:vertAlign w:val="baseline"/>
        </w:rPr>
      </w:pPr>
      <w:hyperlink w:anchor="bookmark=id.48pi1tg">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5.</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2jxsxqh" w:id="16"/>
    <w:bookmarkEnd w:id="16"/>
    <w:p w:rsidR="00000000" w:rsidDel="00000000" w:rsidP="00000000" w:rsidRDefault="00000000" w:rsidRPr="00000000" w14:paraId="000000C4">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44sinio" w:id="17"/>
      <w:bookmarkEnd w:id="1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DAS COMPOSIÇÕES DE CUSTOS UNITÁRIOS</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orçamento de referência da presente licitação: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foram adotadas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apenas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composições de custos unitários oriundas do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SINAPI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adaptações;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foram adotadas composições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adaptadas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 SINAPI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nos termos do art. 8º do Decreto n. 7.983, de 2013, as quais foram devidamente juntadas aos autos para o conhecimento dos licitantes;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foram adotadas composições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próprias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extraídas de fontes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extra-SINAPI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nos termos do art. 23, § 2º, da Lei n. 14.133, de 2021, as quais foram devidamente juntadas aos autos para o conhecimento dos licitantes.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80"/>
          <w:sz w:val="16"/>
          <w:szCs w:val="16"/>
          <w:u w:val="single"/>
          <w:shd w:fill="auto" w:val="clear"/>
          <w:vertAlign w:val="baseline"/>
        </w:rPr>
      </w:pPr>
      <w:hyperlink w:anchor="bookmark=id.3mzq4wv">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6.</w:t>
        </w:r>
      </w:hyperlink>
      <w:r w:rsidDel="00000000" w:rsidR="00000000" w:rsidRPr="00000000">
        <w:rPr>
          <w:rtl w:val="0"/>
        </w:rPr>
      </w:r>
    </w:p>
    <w:bookmarkStart w:colFirst="0" w:colLast="0" w:name="bookmark=id.3j2qqm3" w:id="18"/>
    <w:bookmarkEnd w:id="18"/>
    <w:p w:rsidR="00000000" w:rsidDel="00000000" w:rsidP="00000000" w:rsidRDefault="00000000" w:rsidRPr="00000000" w14:paraId="000000CA">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z337ya" w:id="19"/>
      <w:bookmarkEnd w:id="1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CUSTOS DIRETOS</w:t>
      </w:r>
      <w:r w:rsidDel="00000000" w:rsidR="00000000" w:rsidRPr="00000000">
        <w:rPr>
          <w:rtl w:val="0"/>
        </w:rPr>
      </w:r>
    </w:p>
    <w:p w:rsidR="00000000" w:rsidDel="00000000" w:rsidP="00000000" w:rsidRDefault="00000000" w:rsidRPr="00000000" w14:paraId="000000CB">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orçamento de referência da presente licitação, os custos diretos (       ) compreendem </w:t>
      </w:r>
      <w:r w:rsidDel="00000000" w:rsidR="00000000" w:rsidRPr="00000000">
        <w:rPr>
          <w:rFonts w:ascii="Arial" w:cs="Arial" w:eastAsia="Arial" w:hAnsi="Arial"/>
          <w:b w:val="1"/>
          <w:sz w:val="16"/>
          <w:szCs w:val="16"/>
          <w:rtl w:val="0"/>
        </w:rPr>
        <w:t xml:space="preserve">apenas</w:t>
      </w:r>
      <w:r w:rsidDel="00000000" w:rsidR="00000000" w:rsidRPr="00000000">
        <w:rPr>
          <w:rFonts w:ascii="Arial" w:cs="Arial" w:eastAsia="Arial" w:hAnsi="Arial"/>
          <w:sz w:val="16"/>
          <w:szCs w:val="16"/>
          <w:rtl w:val="0"/>
        </w:rPr>
        <w:t xml:space="preserve"> os componentes de preço que podem ser devidamente identificados, quantificados e mensurados na planilha orçamentária.</w:t>
      </w:r>
    </w:p>
    <w:p w:rsidR="00000000" w:rsidDel="00000000" w:rsidP="00000000" w:rsidRDefault="00000000" w:rsidRPr="00000000" w14:paraId="000000CC">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Especificamente em relação ao custo direto de </w:t>
      </w:r>
      <w:r w:rsidDel="00000000" w:rsidR="00000000" w:rsidRPr="00000000">
        <w:rPr>
          <w:rFonts w:ascii="Arial" w:cs="Arial" w:eastAsia="Arial" w:hAnsi="Arial"/>
          <w:b w:val="1"/>
          <w:sz w:val="16"/>
          <w:szCs w:val="16"/>
          <w:rtl w:val="0"/>
        </w:rPr>
        <w:t xml:space="preserve">administração local</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CD">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observa os parâmetros do Acórdão n. 2.622/2013 - Plenário do TCU;</w:t>
      </w:r>
    </w:p>
    <w:p w:rsidR="00000000" w:rsidDel="00000000" w:rsidP="00000000" w:rsidRDefault="00000000" w:rsidRPr="00000000" w14:paraId="000000CE">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adota o parâmetro do (   ) 1º quartil ou (   ) médio ou (   ) 3º quartil, de acordo com as justificativas técnicas abaixo apresentadas </w:t>
      </w:r>
      <w:r w:rsidDel="00000000" w:rsidR="00000000" w:rsidRPr="00000000">
        <w:rPr>
          <w:rFonts w:ascii="Arial" w:cs="Arial" w:eastAsia="Arial" w:hAnsi="Arial"/>
          <w:b w:val="1"/>
          <w:sz w:val="16"/>
          <w:szCs w:val="16"/>
          <w:rtl w:val="0"/>
        </w:rPr>
        <w:t xml:space="preserve">para os casos em que não foi adotado o médio</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CF">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0">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adota percentual superior ao 3º quartil, em razão das peculiaridades do objeto licitado, de acordo com as justificativas técnicas abaixo apresentadas:</w:t>
      </w:r>
    </w:p>
    <w:p w:rsidR="00000000" w:rsidDel="00000000" w:rsidP="00000000" w:rsidRDefault="00000000" w:rsidRPr="00000000" w14:paraId="000000D1">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2">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Em relação ao cronograma físico-financeiro:</w:t>
      </w:r>
    </w:p>
    <w:p w:rsidR="00000000" w:rsidDel="00000000" w:rsidP="00000000" w:rsidRDefault="00000000" w:rsidRPr="00000000" w14:paraId="000000D3">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PREVÊ pagamentos proporcionais para os custos diretos, em especial quanto ao de administração local, para cada período de execução contratual, refletindo adequadamente a evolução da execução da obra, ao invés de reproduzir percentuais fixos.</w:t>
      </w:r>
    </w:p>
    <w:p w:rsidR="00000000" w:rsidDel="00000000" w:rsidP="00000000" w:rsidRDefault="00000000" w:rsidRPr="00000000" w14:paraId="000000D4">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NÃO FORAM PREVISTOS pagamentos proporcionais para os custos diretos, incluindo os de administração local, para cada período de execução contratual, sob a seguinte justificativa:</w:t>
      </w:r>
    </w:p>
    <w:p w:rsidR="00000000" w:rsidDel="00000000" w:rsidP="00000000" w:rsidRDefault="00000000" w:rsidRPr="00000000" w14:paraId="000000D5">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2"/>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319y80a">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7.</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4i7ojhp" w:id="20"/>
    <w:bookmarkEnd w:id="20"/>
    <w:p w:rsidR="00000000" w:rsidDel="00000000" w:rsidP="00000000" w:rsidRDefault="00000000" w:rsidRPr="00000000" w14:paraId="000000D8">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1y810tw" w:id="21"/>
      <w:bookmarkEnd w:id="2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DAS CURVAS ABC DOS SERVIÇOS E INSUMOS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foi/foram juntada(s) a(s) Curva(s) ABC relativas aos (  ) INSUMOS e </w:t>
        <w:br w:type="textWrapping"/>
        <w:t xml:space="preserve">(     ) SERVIÇOS.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foi/foram juntada(s) a(s) Curva(s) ABC relativas aos (  ) INSUMOS e aos</w:t>
        <w:br w:type="textWrapping"/>
        <w:t xml:space="preserve">(     ) SERVIÇOS, sob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40ew0vw">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8.</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1ci93xb" w:id="22"/>
    <w:bookmarkEnd w:id="22"/>
    <w:p w:rsidR="00000000" w:rsidDel="00000000" w:rsidP="00000000" w:rsidRDefault="00000000" w:rsidRPr="00000000" w14:paraId="000000DF">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2xcytpi" w:id="23"/>
      <w:bookmarkEnd w:id="2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ADOÇÃO DO REGIME DE DESONERAÇÃO TRIBUTÁRIA</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serão adotados os custos de referência (     ) DESONERADOS ou (      ) NÃO DESONERADOS, por se tratar da opção mais vantajosa para a Administração, conforme simulação juntada aos autos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preencher, se necessário, para outras considerações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upglbi">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9.</w:t>
        </w:r>
      </w:hyperlink>
      <w:r w:rsidDel="00000000" w:rsidR="00000000" w:rsidRPr="00000000">
        <w:rPr>
          <w:rtl w:val="0"/>
        </w:rPr>
      </w:r>
    </w:p>
    <w:bookmarkStart w:colFirst="0" w:colLast="0" w:name="bookmark=id.2bn6wsx" w:id="24"/>
    <w:bookmarkEnd w:id="24"/>
    <w:p w:rsidR="00000000" w:rsidDel="00000000" w:rsidP="00000000" w:rsidRDefault="00000000" w:rsidRPr="00000000" w14:paraId="000000E4">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3whwml4" w:id="25"/>
      <w:bookmarkEnd w:id="2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DETALHAMENTO DA COMPOSIÇÃO DO PERCENTUAL DE BDI</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o detalhamento do BDI: (   ) observa os parâmetros do Acórdão n. 2.622, de 2013 - Plenário do Tribunal de Contas da União.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Foram adotados os seguintes parâmetros de percentuais para cada item do BDI contemplado no Acórdão n. 2.622/2013 - Plenário do TCU, de acordo com 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técnicas abaixo apresentadas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para os casos em que não foi adotado o médio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Administração central: (   ) 1º quartil ou (   ) quartil médio ou (   ) 3º quartil:</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Seguro e garantia: (   ) 1º quartil ou (   ) quartil médio ou (   ) 3º quartil:</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Risco: (   ) 1º quartil ou (   ) quartil médio ou (   ) 3º quartil:</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Despesa financeira: (   ) 1º quartil ou (   ) quartil médio ou (   ) 3º quartil: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Lucro: (   ) 1º quartil ou (   ) quartil médio ou (   ) 3º quartil:</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determinado(s) item(ns) do BDI, em razão das peculiaridades do objeto licitado, foram adotados percentuais superiores ao 3º quartil, de acordo com 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técnicas abaixo apresentadas:</w:t>
      </w:r>
      <w:r w:rsidDel="00000000" w:rsidR="00000000" w:rsidRPr="00000000">
        <w:rPr>
          <w:rFonts w:ascii="Arial" w:cs="Arial" w:eastAsia="Arial" w:hAnsi="Arial"/>
          <w:b w:val="0"/>
          <w:i w:val="0"/>
          <w:smallCaps w:val="0"/>
          <w:strike w:val="0"/>
          <w:color w:val="000000"/>
          <w:sz w:val="16"/>
          <w:szCs w:val="16"/>
          <w:highlight w:val="cyan"/>
          <w:u w:val="none"/>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1tuee74">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10.</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3as4poj" w:id="26"/>
    <w:bookmarkEnd w:id="26"/>
    <w:p w:rsidR="00000000" w:rsidDel="00000000" w:rsidP="00000000" w:rsidRDefault="00000000" w:rsidRPr="00000000" w14:paraId="000000F5">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qsh70q" w:id="27"/>
      <w:bookmarkEnd w:id="2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BDI REDUZIDO SOBRE OS CUSTOS DOS MATERIAIS E EQUIPAMENTOS</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   ) SERÁ ou (   ) NÃO SERÁ adotado o BDI reduzido sobre os custos dos materiais e equipamentos, de acordo com 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Caso seja adotado o BDI reduzido sobre os custos dos materiais e equipamentos:</w:t>
      </w:r>
    </w:p>
    <w:p w:rsidR="00000000" w:rsidDel="00000000" w:rsidP="00000000" w:rsidRDefault="00000000" w:rsidRPr="00000000" w14:paraId="000000F9">
      <w:pPr>
        <w:pageBreakBefore w:val="0"/>
        <w:widowControl w:val="1"/>
        <w:spacing w:after="0"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foram observados os parâmetros do Acórdão n. 2.622/2013 - Plenário do TCU;</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 adotado o parâmetro do (   ) 1º quartil ou (   ) médio ou (   ) 3º quartil, de acordo com 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técnicas abaixo apresentadas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para os casos em que não foi adotado o médio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 adotado percentual superior ao 3º quartil, em razão das peculiaridades do objeto licitado, de acordo com 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técnicas abaixo apresentadas: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2szc72q">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11.</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49x2ik5" w:id="28"/>
    <w:bookmarkEnd w:id="28"/>
    <w:p w:rsidR="00000000" w:rsidDel="00000000" w:rsidP="00000000" w:rsidRDefault="00000000" w:rsidRPr="00000000" w14:paraId="00000100">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1pxezwc" w:id="29"/>
      <w:bookmarkEnd w:id="2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DE CRONOGRAMA FÍSICO-FINANCEIRO</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cronograma físico-financeiro:</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FOI juntado aos autos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foi juntado aos autos.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hipótese de ter sido adotado o regime de empreitada por preço global, o cronograma físico-financeiro:</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DEFINE com clareza as etapas de serviços que guiarão a aceitabilidade dos preços propostos pelos licitantes.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define com clareza as etapas de serviços que guiarão a aceitabilidade dos preços propostos pelos licitantes.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279ka65">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12.</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147n2zr" w:id="30"/>
    <w:bookmarkEnd w:id="30"/>
    <w:p w:rsidR="00000000" w:rsidDel="00000000" w:rsidP="00000000" w:rsidRDefault="00000000" w:rsidRPr="00000000" w14:paraId="00000109">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2p2csry" w:id="31"/>
      <w:bookmarkEnd w:id="3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PROJETO EXECUTIVO</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FORAM elaborados os projetos executivos relativos ao objeto, juntados aos autos e divulgados com o edital da licitação;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FORAM elaborados os projetos executivos, sendo tal atribuição expressamente repassada à contratada, com os custos contemplados na planilha orçamentária elaborada. Nessa hipótese, (      ) ATESTO que o projeto básico e os demais documentos técnicos da licitação possuem nível de detalhamento adequado e suficiente para permitir a elaboração dos projetos executivos pela contratada.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hyperlink w:anchor="bookmark=id.36ei31r">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13.</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3o7alnk" w:id="33"/>
      <w:bookmarkEnd w:id="3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w:t>
      </w:r>
      <w:bookmarkStart w:colFirst="0" w:colLast="0" w:name="bookmark=id.23ckvvd" w:id="32"/>
      <w:bookmarkEnd w:id="32"/>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UALIFICAÇÃO TÉCNICA</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Registro da empresa no conselho profissional</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será exigido o registro da empresa licitante junto ao (      ) CREA e/ou ao (      ) CAU e/ou ao (       ) CRT, com base na seguinte justificativa técnica:</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Capacidade técnico-operacional</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serão exigidas  comprovações de capacidade técnico-operacional quanto às parcelas de maior relevância técnica e valor significativo do objeto, a seguir elencadas: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SERÁ exigida a comprovação de quantitativos mínimos nos atestados, correspondentes aos seguintes serviços das parcelas de maior relevância técnica e valor significativo do objeto: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os serviços de _______________________________: quantitativos mínimos equivalentes ao percentual de ______________ dos quantitativos licitados;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os serviços de _______________________________: quantitativos mínimos equivalentes ao percentual de ______________ dos quantitativos licitados;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os serviços de _______________________________: quantitativos mínimos equivalentes ao percentual de ______________ dos quantitativos licitados;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os serviços de _______________________________: quantitativos mínimos equivalentes ao percentual de ______________ dos quantitativos licitados;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os serviços de _______________________________: quantitativos mínimos equivalentes ao percentual de ______________ dos quantitativos licitados;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Possibilidade de somatório de atestados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será (    ) ACEITO ou (    ) VEDADO o somatório de atestados de capacidade técnico-operacional para atingimento dos quantitativos mínimos demandados,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técnica: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Capacidade técnico-profissional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NÃO SERÃO exigidas comprovações de capacidade técnico-profissional.</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SERÃO exigidas comprovações de capacidade técnico-profissional quanto às parcelas de maior relevância técnica e valor significativo do objeto, a serem executadas pelos profissionais abaixo elencados: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serviços de ______________________________________________;</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serviços de ______________________________________________;</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serviços de ______________________________________________;</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serviços de ______________________________________________;</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serviços de ______________________________________________;</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SERÁ, excepcionalmente, exigida a comprovação de quantitativos mínimos nos documentos de ART/RRT, com base na seguinte justificativa: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Os quantitativos mínimos a serem comprovados nos documentos de ART/RRT, por cada profissional, estão abaixo elencados: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quantitativos mínimos equivalentes ao percentual de ______________ dos quantitativos licitados, para os serviços de ______________________________________________;</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quantitativos mínimos equivalentes ao percentual de ______________ dos quantitativos licitados, para os serviços de ______________________________________________;</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quantitativos mínimos equivalentes ao percentual de ______________ dos quantitativos licitados, para os serviços de ______________________________________________;</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quantitativos mínimos equivalentes ao percentual de ______________ dos quantitativos licitados, para os serviços de ______________________________________________;</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o cargo de _______________________________: quantitativos mínimos equivalentes ao percentual de ______________ dos quantitativos licitados, para os serviços de ______________________________________________;</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Exigências de instalações, aparelhamento e pessoal técnico</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   ) SERÁ exigida a indicação de instalações, aparelhamento ou pessoal técnico com determinada qualificação, a seguir elencados: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hyperlink w:anchor="bookmark=id.1yyy98l">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45jfvxd">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14.</w:t>
        </w:r>
      </w:hyperlink>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32hioqz" w:id="34"/>
    <w:bookmarkEnd w:id="34"/>
    <w:p w:rsidR="00000000" w:rsidDel="00000000" w:rsidP="00000000" w:rsidRDefault="00000000" w:rsidRPr="00000000" w14:paraId="00000135">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ihv636" w:id="35"/>
      <w:bookmarkEnd w:id="3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VISTORIA</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a realização de vistoria será (   ) FACULTATIVA ou (   ) OBRIGATÓRIA, e o licitante (   ) PODERÁ ou (   ) NÃO PODERÁ substituir o atestado de vistoria pela declaração de pleno conhecimento das condições de execução do objeto, com base na seguinte justificativa técnica: </w:t>
      </w:r>
      <w:hyperlink w:anchor="bookmark=id.1yyy98l">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zu0gcz">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15.</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bookmarkStart w:colFirst="0" w:colLast="0" w:name="bookmark=id.41mghml" w:id="36"/>
    <w:bookmarkEnd w:id="36"/>
    <w:p w:rsidR="00000000" w:rsidDel="00000000" w:rsidP="00000000" w:rsidRDefault="00000000" w:rsidRPr="00000000" w14:paraId="00000139">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1hmsyys" w:id="37"/>
      <w:bookmarkEnd w:id="3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SUBCONTRATAÇÃO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órgão assessorado (   ) NÃO ADMITIU ou (   ) ADMITIU a subcontratação parcial na presente licitação, sob as seguintes condições 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técnicas: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hyperlink w:anchor="bookmark=id.1yyy98l">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16.</w:t>
        </w:r>
      </w:hyperlink>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vx1227" w:id="38"/>
    <w:bookmarkEnd w:id="38"/>
    <w:p w:rsidR="00000000" w:rsidDel="00000000" w:rsidP="00000000" w:rsidRDefault="00000000" w:rsidRPr="00000000" w14:paraId="0000013E">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2grqrue" w:id="39"/>
      <w:bookmarkEnd w:id="3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DEFINIÇÃO DO PERCENTUAL DE CAPITAL OU PATRIMÔNIO LÍQUIDO MÍNIMO</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será exigida a comprovação de (   ) CAPITAL MÍNIMO ou (   ) PATRIMÔNIO LÍQUIDO MÍNIMO, no percentual de (                        ) por cento sobre o valor total estimado da contratação,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técnica:</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2y3w247">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17.</w:t>
        </w:r>
      </w:hyperlink>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1v1yuxt" w:id="40"/>
    <w:bookmarkEnd w:id="40"/>
    <w:p w:rsidR="00000000" w:rsidDel="00000000" w:rsidP="00000000" w:rsidRDefault="00000000" w:rsidRPr="00000000" w14:paraId="00000143">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3fwokq0" w:id="41"/>
      <w:bookmarkEnd w:id="4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PARTICIPAÇÃO DE CONSÓRCIOS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será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PERMITIDA a participação de consórcios.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Não é necessário justificar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VEDADA a participação de consórcios,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3x8tuzt">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18.</w:t>
        </w:r>
      </w:hyperlink>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2u6wntf" w:id="42"/>
    <w:bookmarkEnd w:id="42"/>
    <w:p w:rsidR="00000000" w:rsidDel="00000000" w:rsidP="00000000" w:rsidRDefault="00000000" w:rsidRPr="00000000" w14:paraId="0000014A">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4f1mdlm" w:id="43"/>
      <w:bookmarkEnd w:id="4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PARTICIPAÇÃO DE COOPERATIVAS</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será (   ) VEDADA ou (   ) PERMITIDA a participação de cooperativas,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ff"/>
          <w:sz w:val="16"/>
          <w:szCs w:val="16"/>
          <w:u w:val="none"/>
          <w:shd w:fill="auto" w:val="clear"/>
          <w:vertAlign w:val="baseline"/>
        </w:rPr>
      </w:pPr>
      <w:hyperlink w:anchor="bookmark=id.rjefff">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19.</w:t>
        </w:r>
      </w:hyperlink>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tl w:val="0"/>
        </w:rPr>
      </w:r>
    </w:p>
    <w:bookmarkStart w:colFirst="0" w:colLast="0" w:name="bookmark=id.3tbugp1" w:id="44"/>
    <w:bookmarkEnd w:id="44"/>
    <w:p w:rsidR="00000000" w:rsidDel="00000000" w:rsidP="00000000" w:rsidRDefault="00000000" w:rsidRPr="00000000" w14:paraId="0000014F">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1"/>
          <w:strike w:val="0"/>
          <w:color w:val="000000"/>
          <w:sz w:val="16"/>
          <w:szCs w:val="16"/>
          <w:u w:val="none"/>
          <w:shd w:fill="auto" w:val="clear"/>
          <w:vertAlign w:val="baseline"/>
        </w:rPr>
      </w:pPr>
      <w:bookmarkStart w:colFirst="0" w:colLast="0" w:name="_heading=h.19c6y18" w:id="45"/>
      <w:bookmarkEnd w:id="4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GARANTIA DA EXECUÇÃO</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presente licitação, será (   ) EXIGIDA ou (   ) DISPENSADA a apresentação de garantia de execução contratual, com base na seguinte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hyperlink w:anchor="bookmark=id.1qoc8b1">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20.</w:t>
        </w:r>
      </w:hyperlink>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bookmarkStart w:colFirst="0" w:colLast="0" w:name="bookmark=id.nmf14n" w:id="46"/>
    <w:bookmarkEnd w:id="46"/>
    <w:p w:rsidR="00000000" w:rsidDel="00000000" w:rsidP="00000000" w:rsidRDefault="00000000" w:rsidRPr="00000000" w14:paraId="00000154">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28h4qwu" w:id="47"/>
      <w:bookmarkEnd w:id="4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SUSTENTABILIDADE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tocante à promoção do Desenvolvimento Nacional Sustentável previsto nos arts. 5º, e 11, IV, da Lei n. 14.133, de 2021, nesta licitação o tomou as seguintes medidas quando do planejamento de obras e serviços de engenharia:</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definiu os critérios e práticas sustentáveis, objetivamente e em adequação ao objeto da contratação pretendida, como especificação técnica do objeto, obrigação da contratada, e/ou requisito de habilitação/qualificação previsto em lei especial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verificou se os critérios e práticas sustentáveis especificados preservam o caráter competitivo do certame;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verificou a incidência de normas de acessibilidade (Decreto n. 6.949, de 2009 e Lei n. 13.146, de 2015); 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verificar o alinhamento da contratação com o Plano de Gestão de Logística Sustentável.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Nesta licitação, o órgão assessorado entendeu que os serviços objeto desta contratação não se sujeitam aos critérios e práticas de sustentabilidade ou que as especificações de sustentabilidade restringem indevidamente a competição em dado mercado, sob a seguinte justificativa: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0"/>
        <w:jc w:val="both"/>
        <w:rPr>
          <w:rFonts w:ascii="Arial" w:cs="Arial" w:eastAsia="Arial" w:hAnsi="Arial"/>
          <w:b w:val="0"/>
          <w:i w:val="0"/>
          <w:smallCaps w:val="0"/>
          <w:strike w:val="0"/>
          <w:color w:val="000080"/>
          <w:sz w:val="16"/>
          <w:szCs w:val="16"/>
          <w:u w:val="single"/>
          <w:shd w:fill="auto" w:val="clear"/>
          <w:vertAlign w:val="baseline"/>
        </w:rPr>
      </w:pPr>
      <w:hyperlink w:anchor="bookmark=id.2pta16n">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Vide Nota Explicativa n. 21.</w:t>
        </w:r>
      </w:hyperlink>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759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7" w:right="-14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7" w:right="-1417"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heading=h.37m2jsg" w:id="48"/>
      <w:bookmarkEnd w:id="48"/>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NOTAS EXPLICATIVAS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1417" w:right="-14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1mrcu09" w:id="49"/>
      <w:bookmarkEnd w:id="49"/>
      <w:r w:rsidDel="00000000" w:rsidR="00000000" w:rsidRPr="00000000">
        <w:rPr>
          <w:rtl w:val="0"/>
        </w:rPr>
      </w:r>
    </w:p>
    <w:bookmarkStart w:colFirst="0" w:colLast="0" w:name="bookmark=id.46r0co2" w:id="50"/>
    <w:bookmarkEnd w:id="50"/>
    <w:p w:rsidR="00000000" w:rsidDel="00000000" w:rsidP="00000000" w:rsidRDefault="00000000" w:rsidRPr="00000000" w14:paraId="0000016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2lwamvv" w:id="51"/>
      <w:bookmarkEnd w:id="5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ENQUADRAMENTO DO OBJETO</w:t>
      </w:r>
    </w:p>
    <w:p w:rsidR="00000000" w:rsidDel="00000000" w:rsidP="00000000" w:rsidRDefault="00000000" w:rsidRPr="00000000" w14:paraId="000001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111kx3o" w:id="52"/>
      <w:bookmarkEnd w:id="52"/>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Classificação como obra ou serviço de engenharia</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Lei n. 8.666, de 1993, a conceituação da atividade como obra ou serviço de engenharia se dava por exemplificação. Atividades de construção, reforma, fabricação, recuperação ou ampliação constituiriam uma obra, ao passo que serviço de engenharia seria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Parecer n. 075/2010/DECOR/CGU/AGU, que é destacado no Manual de Obras e Serviços de Engenharia da Consultoria-Geral da União, tais atividades foram sintetizadas sob a concepção da alteração significativa ou não significativa do espaço, nos seguintes termos: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Em se tratando de alteração significativa, autônoma e independente, estar-se-á adiante de obra de engenharia, vedada a adoção do pregão;</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 Em se tratando de alteração não significativa, autônoma e independente, estar-se-á adiante de serviço de engenharia, cabível a adoção do pregão;</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Lei n. 14.133, de 2021 – Nova Lei de Licitações e Contratos – em seu art. 6º, incisos XII e XXI, estabelece as definições de obra e serviço de engenharia também se valendo da referência à dimensão da alteração, nos seguintes termos: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Serviço de engenharia: 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que compreendem:</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Sob a égide da nova lei, a atividade será enquadrada como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quando i) seu exercício, por força de lei, for privativo das profissões de engenheiro e arquiteto, e, cumulativamente, ii) importar em inovação do espaço físico da natureza ou substancial alteração das características originais de bem imóvel.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enquadramento como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serviço de engenharia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por outro lado, tem um caráter de exclusão: trata-se de atividade desempenhada por arquiteto, engenheiro ou técnico especializado que importe em utilidade para a Administração, mas não constitua obra, ou seja, não importe em inovação ou alteração substancial do ambiente ou bem imóvel.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Percebemos que o supracitado Manual de Obras e Serviços de Engenharia da Consultoria-Geral da União já destacava a ideia de novidade para distinguir obra de serviço de engenharia, consignando que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Obra é toda e qualquer criação material nova ou incorporação de coisa nova à estrutura já existente.  (...)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3l18frh" w:id="53"/>
      <w:bookmarkEnd w:id="5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Compete ao setor técnico definir a natureza do objeto, enquadrando-o como obra ou serviço de engenharia. </w:t>
      </w:r>
    </w:p>
    <w:p w:rsidR="00000000" w:rsidDel="00000000" w:rsidP="00000000" w:rsidRDefault="00000000" w:rsidRPr="00000000" w14:paraId="000001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206ipza" w:id="54"/>
      <w:bookmarkEnd w:id="54"/>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Classificação como serviço comum ou especial</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Uma vez que a atividade seja classificada como serviço de engenharia, cabe à equipe técnica perquirir se esse serviço é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comum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ou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especial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que assim são definidos no art. 6º, XXI, “a” e “b”, da Lei n. 14.133, de 2021:</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p>
    <w:bookmarkStart w:colFirst="0" w:colLast="0" w:name="bookmark=id.4k668n3" w:id="55"/>
    <w:bookmarkEnd w:id="55"/>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 serviço especial de engenharia: aquele que, por sua alta heterogeneidade ou complexidade, não pode se enquadrar na definição constante da alínea “a” deste inciso;</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Marçal Justen Filho</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“bem ou serviço comum é aquele que se apresenta sob identidade e características padronizadas e que se encontra disponível, a qualquer tempo, num mercado próprio”.</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caráter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comum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ou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especial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do serviço está ligado à presença, ou não, de padronização no mercado e não reside, necessariamente, no grau de complexidade executiva do serviço ou na imposição legal de que a atividade seja exercida por profissionais habilitados. O que atrai o enquadramento do serviço como comum é o domínio do mercado sobre as técnicas de sua realização, em face da existência de características padronizadas de desempenho e de qualidade.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Considerando que a avaliação da natureza comum ou especial do objeto envolve aspectos técnicos dos serviços de engenharia a ser contratada, essa classificação compete ao profissional legalmente habilitado.</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2et92p0">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2zbgiuw" w:id="56"/>
    <w:bookmarkEnd w:id="56"/>
    <w:p w:rsidR="00000000" w:rsidDel="00000000" w:rsidP="00000000" w:rsidRDefault="00000000" w:rsidRPr="00000000" w14:paraId="0000017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1egqt2p" w:id="57"/>
      <w:bookmarkEnd w:id="5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REGIMES DE EXECUÇÃO</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termos do art. 46 da Lei n. 14.133, de 2021, poderão ser adotados nas contratações de obras e serviços de engenharia os seguintes regimes de execução:</w:t>
      </w:r>
      <w:bookmarkStart w:colFirst="0" w:colLast="0" w:name="bookmark=id.3ygebqi" w:id="58"/>
      <w:bookmarkEnd w:id="5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 empreitada por preço unitário;</w:t>
      </w:r>
      <w:bookmarkStart w:colFirst="0" w:colLast="0" w:name="bookmark=id.2dlolyb" w:id="59"/>
      <w:bookmarkEnd w:id="59"/>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II - empreitada por preço global;</w:t>
      </w:r>
      <w:bookmarkStart w:colFirst="0" w:colLast="0" w:name="bookmark=id.sqyw64" w:id="60"/>
      <w:bookmarkEnd w:id="6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III - empreitada integral;</w:t>
      </w:r>
      <w:bookmarkStart w:colFirst="0" w:colLast="0" w:name="bookmark=id.3cqmetx" w:id="61"/>
      <w:bookmarkEnd w:id="6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IV - contratação por tarefa;</w:t>
      </w:r>
      <w:bookmarkStart w:colFirst="0" w:colLast="0" w:name="bookmark=id.1rvwp1q" w:id="62"/>
      <w:bookmarkEnd w:id="6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 - contratação integrada;</w:t>
      </w:r>
      <w:bookmarkStart w:colFirst="0" w:colLast="0" w:name="bookmark=id.4bvk7pj" w:id="63"/>
      <w:bookmarkEnd w:id="6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VI - contratação semi-integrada;</w:t>
      </w:r>
      <w:bookmarkStart w:colFirst="0" w:colLast="0" w:name="bookmark=id.2r0uhxc" w:id="64"/>
      <w:bookmarkEnd w:id="6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ou VII - fornecimento e prestação de serviço associado.</w:t>
      </w:r>
    </w:p>
    <w:p w:rsidR="00000000" w:rsidDel="00000000" w:rsidP="00000000" w:rsidRDefault="00000000" w:rsidRPr="00000000" w14:paraId="000001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1664s55" w:id="65"/>
      <w:bookmarkEnd w:id="6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por Preço Unitário</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regime de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empreitada por preço unitário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é definido na Nova Lei de Licitações como regime de contratação da execução da obra ou do serviço em que o preço é fixado por unidade determinada. A remuneração da contratada é estabelecida em face dos serviços efetivamente executados, de modo que os contratantes não assumem grandes riscos em relação às diferenças de estimativas de quantitativos.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Tal regime é mais apropriado para os casos em que não se conhecem de antemão, com alto nível de precisão, os quantitativos totais da obra ou serviço: a execução das “unidades” se dará de acordo com a necessidade observada, com a realização de minuciosas medições periódicas para quantificar os serviços efetivamente executados. Havendo diferença entre os quantitativos inicialmente previstos nas planilhas orçamentárias e os quantitativos efetivamente necessários, a remuneração devida à contratada deverá ser ajustada (reduzida ou majorada) a fim de refletir os quantitativos reais.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Esse regime deve ser adotado em face da imprecisão inerente à própria natureza do objeto, que está sujeito a variações, especialmente nos quantitativos, por fatores supervenientes ou não totalmente conhecidos na fase de planejamento. São típicos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w:t>
      </w:r>
    </w:p>
    <w:p w:rsidR="00000000" w:rsidDel="00000000" w:rsidP="00000000" w:rsidRDefault="00000000" w:rsidRPr="00000000" w14:paraId="000001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3q5sasy" w:id="66"/>
      <w:bookmarkEnd w:id="66"/>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por Preço Global</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regime de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empreitada por preço global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execução da obra ou serviço se dá por preço certo e total. Adotando-se esse regime, cada parte assume o risco de eventuais distorções nos quantitativos a serem executados, que podem ser superiores ou inferiores àqueles originalmente previstos na planilha orçamentária da contratação. Se, ao final da obra, a contratada tiver fornecido ou executado quantitativos superiores aos estimados, arcará com o prejuízo financeiro, não podendo cobrar a Administração pelos custos adicionais, até certo limite. Na situação oposta, a lógica é a mesma: a Administração não poderá realizar descontos proporcionais aos quantitativos não fornecidos ou executados, se ao final forem inferiores aos estimados, também até certo limite. Assim, na empreitada por preço global, o grau de assunção de riscos pelo contratado é maior do que na empreitada por preço unitário.</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Esse regime deve ser adotado quando houver um alto nível de precisão das especificações e quantitativos do objeto. Ele pressupõe projetos de boa qualidade, que forneçam aos licitantes todos os elementos e informações necessários para o total e completo conhecimento do objeto e a elaboração de proposta fidedigna, justamente para evitar distorções relevantes no decorrer da execução contratual, em prejuízo seja da Administração, seja da contratada.</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É cabível, então, quando for possível definir previamente no projeto, com alta precisão, as quantidades dos serviços a serem posteriormente executados na fase contratual.</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presente regime de execução, deve ser adotada </w:t>
      </w:r>
      <w:bookmarkStart w:colFirst="0" w:colLast="0" w:name="bookmark=id.25b2l0r" w:id="67"/>
      <w:bookmarkEnd w:id="67"/>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sistemática de medição e pagamento associada à execução de etapas do cronograma físico-financeiro vinculadas ao cumprimento de metas de resultado – sendo vedada sistemática de remuneração atrelada a preços unitários ou quantidades de itens unitários executados.</w:t>
      </w:r>
    </w:p>
    <w:p w:rsidR="00000000" w:rsidDel="00000000" w:rsidP="00000000" w:rsidRDefault="00000000" w:rsidRPr="00000000" w14:paraId="000001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kgcv8k" w:id="68"/>
      <w:bookmarkEnd w:id="68"/>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Integral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Quando adotado o regime de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empreitada integral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empreendimento é contratado em sua integralidade, compreendendo todas as etapas, serviços e instalações necessários. O contratado se responsabiliza pela entrega do empreendimento ao contratante em condições de entrada em operação, com características adequadas às finalidades para as quais foi contratado e atendidos os requisitos técnicos e legais para sua utilização com segurança estrutural e operacional.</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regime, a Licitação abrange a execução do objeto e o fornecimento e instalação de bens pelo contratado. O objeto deve ser entregue pelo contratado totalmente concluído e com os bens (máquinas, equipamentos, etc.) instalados e em perfeitas condições de uso e funcionamento. De acordo com Marçal Justen Filho</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regime de empreitada integral é utilizado para situações que envolvam a implantação de uma unidade operacional, em que a infraestrutura física é necessária, mas não suficiente para satisfazer o interesse da Administração.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objeto visado pela contratação é a construção da infraestrutura e a implementação de serviços e outras atividades indispensáveis ao desempenho de uma atividade operacional dinâmica.</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Esse regime deve ser adotado quando a necessidade da Administração vai além da entrega da infraestrutura e envolve também a plena operacionalização do empreendimento de acordo com parâmetros previamente definidos. Em outras palavras, o empreendimento deve ser entregue em pleno funcionamento.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 empreitada integral é o regime adequado para projetos vultuosos e complexos, que demandem, para o seu pleno funcionamento, a perfeita integração entre obras, equipamentos e instalações. Importante destacar que não é o fornecimento de qualquer equipamento ou mobiliário que justifica a adoção de empreitada integral, mas apenas aqueles em que possuam um grau de integração atípico com a infraestrutura da obra</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Do contrário, deverão ser contratados separadamente, pois a adoção indevida desse regime pode ferir o princípio do parcelamento e, por consequência, da ampla competitividade.</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casos em que a Administração vislumbre problemas que possam ser revelados apenas quando efetivamente promovida a etapa de funcionamento do empreendimento, é conveniente a adoção da empreitada integral, pois o contratado somente se desincumbirá de suas obrigações quando o empreendimento estiver em pleno funcionamento. </w:t>
      </w:r>
    </w:p>
    <w:p w:rsidR="00000000" w:rsidDel="00000000" w:rsidP="00000000" w:rsidRDefault="00000000" w:rsidRPr="00000000" w14:paraId="000001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34g0dwd" w:id="69"/>
      <w:bookmarkEnd w:id="6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Contratação Por Tarefa</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contratação por tarefa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contrata-se mão de obra para pequenos trabalhos por preço certo, com ou sem fornecimento de materiais.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Pode abranger a contratação de prestadores como pedreiro, azulejista, encanador, carpinteiro, pintor etc., para executarem serviços isolados de menor dimensão.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 contratação por tarefa costuma ocorrer naqueles casos em que o prestador do serviço atua individualmente, sem o concurso de equipamentos sofisticados, com remuneração de valor reduzido”</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Fazendo o paralelo com a participação de pessoas físicas na licitação, não se aplica quando a contratação exigir estrutura mínima, com equipamentos, instalações e equipe de profissionais ou corpo técnico para a execução do objeto incompatíveis com a natureza profissional da pessoa física, conforme demonstrado em estudo técnico preliminar.</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Portanto, não se recomenda a contratação por tarefa para objetos de maior complexidade, que extrapolem a atuação cotidiana do prestador individual.</w:t>
      </w:r>
    </w:p>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1jlao46" w:id="70"/>
      <w:bookmarkEnd w:id="7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Contratação Integrada</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contratação integrada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contratado é responsável não somente por executar a obra ou serviço de engenharia, mas também por elaborar e desenvolver o projeto básico e o projeto executivo – além de fornecer bens ou prestar serviços especiais e realizar montagem, teste, pré-operação e as demais operações necessárias e suficientes para a entrega final do objeto.</w:t>
      </w:r>
      <w:bookmarkStart w:colFirst="0" w:colLast="0" w:name="bookmark=id.43ky6rz" w:id="71"/>
      <w:bookmarkEnd w:id="71"/>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Administração produz apenas o anteprojeto – peça técnica com todos os subsídios necessários à elaboração do projeto básico, contendo, dentre outros elementos, a proposta de concepção da obra e o memorial descritivo dos elementos da edificação, dos componentes construtivos e dos materiais de construção, de forma a estabelecer padrões mínimos para a contratação.</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contratado é responsável por escolher as soluções técnicas reputadas mais compatíveis com as diretrizes fixadas para o empreendimento – cabendo à Administração </w:t>
      </w:r>
      <w:bookmarkStart w:colFirst="0" w:colLast="0" w:name="bookmark=id.xvir7l" w:id="72"/>
      <w:bookmarkEnd w:id="72"/>
      <w:bookmarkStart w:colFirst="0" w:colLast="0" w:name="bookmark=id.2iq8gzs" w:id="73"/>
      <w:bookmarkEnd w:id="73"/>
      <w:bookmarkStart w:colFirst="0" w:colLast="0" w:name="bookmark=id.3hv69ve" w:id="74"/>
      <w:bookmarkEnd w:id="7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aprovar o projeto básico elaborado pelo contratado, avaliando sua adequação em relação aos parâmetros definidos no edital e conformidade com as normas técnicas, vedadas alterações que reduzam sua qualidade ou vida útil.</w:t>
      </w:r>
      <w:bookmarkStart w:colFirst="0" w:colLast="0" w:name="bookmark=id.1x0gk37" w:id="75"/>
      <w:bookmarkEnd w:id="75"/>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 razão dos maiores riscos envolvidos, a contratação integrada deve obrigatoriamente contemplar matriz de alocação de riscos entre o contratante e o contratado – mantida a responsabilidade integral do contratado pelos riscos associados ao projeto básico por ele elaborado.</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até por seu potencial para encarecer a contratação, o regime não se destina aos objetos cotidianos – mas sim de natureza complexa, “quando não houver solução técnica determinada para a execução e colocação em operação do empreendimento ou nos casos em que a complexidade das circunstâncias conduzir à impossibilidade de definir com segurança a solução técnica mais satisfatória”</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Prossegue Marçal Justen Filho:</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vantajosidade econômica da contratação integrada apenas se verifica nas situações em que há complexidade e problemas envolvidos na execução do objeto. A dimensão dos problemas acarreta incertezas e dificuldades que se refletirão no preço, mas pode ser mais eficiente transferir para o particular o encargo de conceber a solução e executá-la do que tentar desenvolver uma solução satisfatória no âmbito da própria Administração.</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Dessa forma, embora a Lei nº 14.133/2021 não preveja requisitos explícitos para adoção do regime, “é necessário evidenciar que a complexidade da situação e a incerteza sobre o atingimento do resultado desejado mediante as soluções de empreitada tradicional geram riscos de insucesso relevante, além de acarretarem custos econômicos elevados. Deve ser demonstrado que a assunção por um particular do encargo de conceber o empreendimento, com todos os riscos inerentes, propiciará uma solução economicamente mais vantajosa do que aquela que seria obtida mediante uma modalidade distinta de empreitada”.</w:t>
      </w:r>
    </w:p>
    <w:p w:rsidR="00000000" w:rsidDel="00000000" w:rsidP="00000000" w:rsidRDefault="00000000" w:rsidRPr="00000000" w14:paraId="000001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4h042r0" w:id="76"/>
      <w:bookmarkEnd w:id="76"/>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Contratação Semi-Integrada</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contratação semi-integrada aproxima-se amplamente da contratação integrada – porém, como diferença essencial, a Administração elabora o projeto básico da licitação, atribuindo ao contratado somente a responsabilidade pela elaboração do projeto executivo.</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Ainda assim,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 assumindo o contratado a responsabilidade integral pelos riscos associados à alteração do projeto básico.</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resto, aplicam-se à contratação semi-integrada as mesmas observações associadas à contratação integrada, especialmente quanto à limitação de sua utilização aos objetos complexos.</w:t>
      </w:r>
    </w:p>
    <w:p w:rsidR="00000000" w:rsidDel="00000000" w:rsidP="00000000" w:rsidRDefault="00000000" w:rsidRPr="00000000" w14:paraId="000001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2w5ecyt" w:id="77"/>
      <w:bookmarkEnd w:id="7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Fornecimento e prestação de serviço associado</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regime, além do fornecimento do objeto, o contratado responsabiliza-se por sua operação, manutenção ou ambas, por tempo determinado.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exemplo de Marçal Justen Filho</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seria adequado para contratar a construção de um edifício inteligente, com fornecimento dos equipamentos pertinentes e operação das diversas funcionalidades existentes – já que contratar em separado cada objeto poderia gerar complexidade de gestão e eventualmente elevação de custos: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Haveria dificuldade na adequação entre a construção, os equipamentos e a sua operação. Ao promover uma contratação única e abrangente, surge a obrigação de o particular conceber o edifício tomando em vista as peculiaridades dos equipamentos e as funcionalidades no tocante à prestação do serviço. O particular terá o dever de fornecer os equipamentos mais compatíveis com as características do edifício e com os serviços de operação ou manutenção. E se pode presumir que os custos de operação e de manutenção serão muito mais reduzidos, em vista da existência de um mesmo sujeito a executar todas as prestações.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alerta o autor, “somente é cabível adotar esse modelo de contratação quando as diversas prestações comportarem efetiva integração entre si e se evidenciar que a contratação isolada acarretará perdas sob o prisma técnico e econômico. Portanto, não existe autonomia para promover contratação cumulativa de objetos autônomos entre si, o que configuraria opção restritiva da amplitude da competição”.</w:t>
      </w:r>
    </w:p>
    <w:p w:rsidR="00000000" w:rsidDel="00000000" w:rsidP="00000000" w:rsidRDefault="00000000" w:rsidRPr="00000000" w14:paraId="000001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1baon6m" w:id="78"/>
      <w:bookmarkEnd w:id="78"/>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Subestimativas e superestimativas técnicas relevantes</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definição das chamadas "subestimativas e superestimativas relevantes" decorre de orientação do TCU para os contratos por empreitada por preço global ou integral (Acórdão n. 1.977/2013 - Plenário), a fim de garantir segurança jurídica em caso de eventual necessidade de aditivos para correção de projeto.</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Segundo avalia o TCU, ambas as partes - Administração e contratada - são obrigadas a arcar com as imprecisões do projeto na empreitada por preço global - porém, apenas até o limite do enriquecimento sem causa de uma parte em detrimento da outra.</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"pequenos erros quantitativos" devem ser tolerados e não devem acarretar a celebração de termos aditivos em empreitadas globais, "por se tratarem de erros acidentais, incapazes de interferir na formação de vontades e, principalmente, na formação de proposta a ser ofertada, a ser tida como a mais vantajosa".</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o cenário se altera caso ocorram "erros substanciais" - daí a necessidade de estabelecer um critério objetivo para diferenciá-los.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setor técnico deve elaborar uma matriz de riscos para analisar os riscos do projeto e definir a margem de tolerância de erro quantitativo a ser acatada pelas partes, tanto a menor ("subestimativas" em desfavor da contratada) quanto a maior ("superestimativas" em desfavor da Administração).</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Tal margem de tolerância será fixada sob a forma de um percentual incidente sobre as quantidades do serviço.</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ponto convém notar que a inclusão dos riscos do empreendimento é parte obrigatória da remuneração da empresa contratada, nos termos do art. 9º do Decreto n. 7.983, de 2013, que traz a composição do BDI:</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 9º O preço global de referência será o resultante do custo global de referência acrescido do valor correspondente ao BDI, que deverá evidenciar em sua composição, no mínimo:</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 taxa de rateio da administração central;</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 - percentuais de tributos incidentes sobre o preço do serviço, excluídos aqueles de natureza direta e personalística que oneram o contratado;</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III - taxa de risco, seguro e garantia do empreendimento; 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IV - taxa de lucro.</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 a Taxa de Risco compreende os “riscos de construção”, os “riscos normais de projetos de engenharia”, bem como os “riscos de erros de projetos e engenharia”, conforme se extrai do Acórdão TCU n. 2622/2013-Plenário. Portanto, não é compreensível que a Administração venha a remunerar esses riscos e ao mesmo tempo assuma o ônus de quaisquer quantitativos subestimados por meio da celebração de aditivos, tal como seria no regime de empreitada por preço unitário. Daí a taxa de risco fixada pela Administração por ocasião da elaboração do BDI é um importante fator a ser levado em consideração no cálculo das superestimavas e subestimavas relevantes.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Além disso, A Orientação Técnica n. 04/2011 do Instituto Brasileiro de Engenharia de Custos, seguindo padrões internacionais (ICEC -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International Cost Engineering Council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indica uma margem de erro de um orçamento de referência de aproximadamente 5% (cinco por cento) para um Projeto Básico quando caracterizada uma situação de utilização de empreitada por preço global, ou seja: quando todas as informações necessárias para a confecção de uma planilha orçamentária detalhada estão disponíveis. Assim, esse parâmetro pode ser utilizado pela Administração como critério médio que pode variar conforme o risco de cada etapa do projeto. Em todo caso, porém, compete exclusivamente à área técnica a definição dos respectivos percentuais de subestimavas e superestimavas relevantes.</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Uma vez fixados os percentuais, durante a execução contratual, se for constatado um erro de quantitativo ("subestimativa" ou "superestimativa") em determinado serviço, o setor técnico comparará com o percentual fixado na matriz de riscos.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 o percentual do erro ficar abaixo do percentual limite, significa que o erro não é relevante: trata-se de risco ordinário do empreendimento, já remunerado pela taxa de “risco” que consta do BDI da obra ou serviço, e não deve fundamentar a prolação de termo aditivo.</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se o percentual do erro ficar acima do percentual limite, será considerado relevante e permitirá a prolação do termo aditivo – sem prejuízo da análise técnica acerca dos demais requisitos necessários para as modificações contratuais, nos termos do art. 124, I e II, da Lei n. 14.133, de 2021.</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Segue o exemplo do TCU: “os contratos podem, com simplicidade, objetivar que erros unitários de quantidade de até 10% não sejam objeto de qualquer revisão. Menos que isso, esses erros acidentais serão álea ordinária da contratada. Para que não haja incontáveis pedidos de reequilíbrio decorrentes de serviços de pequena monta, pode-se, ainda, definir que somente serviços de materialidade relevante na curva ABC do empreendimento incorrerão como tarja de “erro relevante”. Mantém, assim, a lógica da medição por preço global, ao mesmo tempo em que se veda o enriquecimento sem causa de qualquer das partes, sem ferir o princípio fundamental da obtenção da melhor proposta”.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 definição do percentual de tolerância pode abranger cada item de serviço, grupos de serviços ou apenas os serviços de maior relevância da contratação (avaliados de acordo com a metodologia ABC) – nesse último caso, o erro de quantitativo só ensejará a prolação do termo aditivo se atingir justamente um dos serviços agrupados na curva “A” da contratação, ou nas curvas “A” e “B” (podendo prever um percentual limite maior para os serviços da curva “B” em relação à curva “A”, por exemplo).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Trata-se de questão técnica, a ser avaliada pelo setor em cada licitação, de acordo com as peculiaridades do objeto.</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fim, nos termos do art. 13, inciso II, do Decreto n. 7.983, de 2013, as alterações contratuais sob alegação de falhas ou omissões não poderão ultrapassar, no seu conjunto, 10% (dez por cento) do valor total do contrato, computando-se esse percentual para verificação do limite previsto no art. 124 da Lei n. 14.133, de 2021.</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4d34og8">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3vac5uf" w:id="79"/>
    <w:bookmarkEnd w:id="79"/>
    <w:p w:rsidR="00000000" w:rsidDel="00000000" w:rsidP="00000000" w:rsidRDefault="00000000" w:rsidRPr="00000000" w14:paraId="000001C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2afmg28" w:id="80"/>
      <w:bookmarkEnd w:id="8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DE PROJETO / DOCUMENTOS TÉCNICOS POR PROFISSIONAL HABILITADO E COMPROVAÇÃO DE RESPONSABILIDADE TÉCNICA.</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a licitação relacionada a obras e serviços de engenharia, em conformidade com as definições constantes no art. 6°, XII e XXI, da Lei n. 14.133, de 2021, é indispensável a participação do profissional habilitado da área. A elaboração do Projeto Básico caberá: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à própria Administração, por meio de responsável técnico pertencente a seus quadros, inscrito no órgão de fiscalização da atividade (CREA/CAU-BR/CFT), que deverá providenciar a Anotação, Registro ou Termo de Responsabilidade Técnica – ART/RRT/TRT referente aos projetos;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 a profissional (pessoa física ou jurídica) especializado, habilitado pelo CREA/CAU-BR/CFT, contratado pela Administração mediante licitação ou diretamente, cujos trabalhos serão baseados em anteprojeto desenvolvido pela Administração.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o projeto e demais documentos técnicos (tais como plantas, caderno de especificações, memoriais descritivos etc.) devem ser elaborados por profissional competente de engenharia, conforme as modalidades pertinentes ao objeto (civil, mecânico, agrônomo, naval, minas, químico, eletricista, eletrônico ou de comunicação, florestal, geólogo etc.), de arquitetura ou de técnico industrial, com a correspondente Anotação, Registro ou Termo de Responsabilidade Técnica – ART/RRT/TRT, como deixa claro a Súmula TCU n. 260/2010:</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que se refere à ART, compete observar a Resolução CONFEA n. 1.137, de 2023.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Cumpre lembrar que, ainda que as modificações nas planilhas orçamentárias sejam elaboradas pela empresa contratada para a execução do projeto, deverá haver profissional habilitado pertencente aos quadros da Administração, ou por ela contratado, para a verificação, correção e/ou adaptação da alteração proposta.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termos da Lei n. 14.133, de 2021, na licitação na modalidade pregão,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 Termo de Referência previsto no art. 6º, XXIII, não traz especificações técnicas. Assim, tais aspectos devem ser apresentados por meio de outro documento, no caso um Projeto Básico, previsto no art. 6º, XXV, da Lei, que, quando necessário, deverá ser anexado ao Termo de Referência.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Desse modo, deve ser comprovada a aptidão do responsável pelo Projeto Básico por meio da competente documentação de responsabilidade técnica, o que não se exige para o Termo de Referência.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17dp8vu">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pkwqa1" w:id="81"/>
    <w:bookmarkEnd w:id="81"/>
    <w:p w:rsidR="00000000" w:rsidDel="00000000" w:rsidP="00000000" w:rsidRDefault="00000000" w:rsidRPr="00000000" w14:paraId="000001CA">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39kk8xu" w:id="82"/>
      <w:bookmarkEnd w:id="82"/>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DEFINIÇÃO DOS CUSTOS UNITÁRIOS DE REFERÊNCIA</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1opuj5n" w:id="83"/>
      <w:bookmarkEnd w:id="8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valor estimado da contratação de obras e serviços de engenharia deve seguir as diretrizes do art. 23, §2º, da Lei n. 14.133, de 2021, que estabelece o uso dos parâmetros específicos abaixo estabelecidos, nessa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ordem de prioridade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composição de custos unitários menores ou iguais à mediana do item correspondente do Sistema de Custos Referenciais de Obras (Sicro), para serviços e obras de infraestrutura de transportes, ou do Sistema Nacional de Pesquisa de Custos e Índices de Construção Civil (Sinapi), para as demais obras e serviços de engenharia;</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utilização de dados de pesquisa publicada em mídia especializada, de tabela de referência formalmente aprovada pelo Poder Executivo federal e de sítios eletrônicos especializados ou de domínio amplo, desde que contenham a data e a hora de acesso;</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contratações similares feitas pela Administração Pública, em execução ou concluídas no período de 1 ano anterior à data da pesquisa de preços, observado o índice de atualização de preços correspondente;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pesquisa na base nacional de notas fiscais eletrônicas, na forma de regulamento.</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Desse modo, os critérios subsequentes somente serão usados quando,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justificadamente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preço de referência não puder ser definido por meio dos critérios anteriores.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Ao adotar quaisquer referenciais de custos externos ao SINAPI, cabe ao setor técnico optar por aqueles que melhor se amoldam ao projeto da obra ou serviço, levando em consideração especialmente a adequação dos quantitativos, dos coeficientes de produtividade e a compatibilidade dos valores dos insumos e da mão de obra com a realidade do local da execução do contrato. Essa avaliação deve constar da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 específica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ser preenchida pelo profissional responsável pelo TJTR.</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Quanto ao uso de sistema privado de orçamentação (a exemplo do SBC), o TCU apontou que sua utilização não constitui irregularidade, todavia ele ressalvou, no item 9.1.4 Acórdão n. 2595/2021-Plenário, que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uso de sistemas privados de referência de custos para obras e serviços de engenharia, como o SBC, sem avaliação de sua compatibilidade com os parâmetros de mercado, e sem a realização de adequadas pesquisas de preços, para fins comparativos, está em desacordo com o art. 6º, inciso IX, "f", da Lei 8.666/1993, com o princípios da eficiência e da economicidade, e é contrária ao entendimento do TCU formatado nos Acórdãos 555/2008, 702/2008, 837/2008, 283/2008, 1.108/2007, 2.062/2007 e 1.947/2007, todos do Plenário.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em sua justificativa, o responsável pelo TJTR deve demonstrar a atenção dada a essa orientação.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fim, relativamente à contratação de obras e serviços de engenharia sob os regimes de contratação integrada ou semi-integrada, observe-se o que determina o art. 23, §5º, da Lei n. 14.133, de 2021.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26in1rg">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48pi1tg" w:id="84"/>
    <w:bookmarkEnd w:id="84"/>
    <w:p w:rsidR="00000000" w:rsidDel="00000000" w:rsidP="00000000" w:rsidRDefault="00000000" w:rsidRPr="00000000" w14:paraId="000001D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2nusc19" w:id="85"/>
      <w:bookmarkEnd w:id="8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ORÇAMENTO DETALHADO EM PLANILHA DE CUSTOS UNITÁRIOS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Via de regra, uma vez que o orçamentista tenha definido os custos que integrarão o orçamento de referência da Administração, o valor estimado nessas contratações será expresso por meio da elaboração do orçamento detalhado em planilhas de custos unitários.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Geralmente, tal orçamento é composto por duas planilhas: sintética e analítica.</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planilha sintética traz os custos unitários de referência e os quantitativos de cada serviço necessário à plena execução da obra – chegando ao custo total de referência do serviço.</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Os custos totais de referência de todos os serviços são, então, somados, chegando ao custo global de referência da obra – sobre o qual incide o valor percentual do BDI (Benefícios e Despesas Indiretas), a fim de obter o preço global de referência da obra, que guiará a aceitação das propostas dos licitantes.</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que diz respeito à contratação sob os regimes de contratação integrada ou semi-integrada, “sempre que necessário e o anteprojeto o permitir, a estimativa de preço será baseada em orçamento sintético” (art. 23, §5º, da Lei n. 14.133, de 2021).</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Já a planilha analítica, como veremos no tópico a seguir,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assegurar a compatibilidade com os valores praticados pelo mercado, é indispensável que o intervalo entre a elaboração das planilhas do custo total estimado do empreendimento e a data de divulgação do edital não deve ser superior a um ano, conforme voto proferido no Acórdão TCU n. 2265/2020-Plenário, do qual se destaca o item 20: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 IN 73/2020 admite prazos de até 1 ano entre as referências pesquisadas e a data de divulgação do instrumento convocatório, prazo que julgo ser adequado também para a validade de um orçamento estimativo visando a licitação de uma obra pública.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Como já expusemos em tópico anterior, a documentação de responsabilidade técnica pelas planilhas orçamentárias deverá constar do projeto que integrar o edital de licitação, inclusive de suas eventuais alterações</w:t>
      </w: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1ksv4uv">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3mzq4wv" w:id="86"/>
    <w:bookmarkEnd w:id="86"/>
    <w:p w:rsidR="00000000" w:rsidDel="00000000" w:rsidP="00000000" w:rsidRDefault="00000000" w:rsidRPr="00000000" w14:paraId="000001E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1302m92" w:id="87"/>
      <w:bookmarkEnd w:id="8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DAS COMPOSIÇÕES DE CUSTOS UNITÁRIOS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casos que demandarem a elaboração da planilha analítica, como já esclarecemos acima, tal documento deverá conter o detalhamento de todos os insumos necessários à composição do custo unitário de cada um dos itens que compõem a obra, incluindo não apenas os materiais, como também a mão de obra e os equipamentos, com os respectivos quantitativos e índices de produtividade.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a Súmula TCU n. 258/2010, "as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Para os custos de referência extraídos do SINAPI, parece desnecessária a juntada das composições que lhes dão suporte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pois trata-se de sistema oficial de livre acesso, bastando ao interessado consultar o respectivo código junto à tabela analítica do SINAPI para saber exatamente como foram calculados e quais custos estão ali embutidos.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Todavia, em caso de adoção de especificidades locais ou de projeto na elaboração das respectivas composições de custo unitário,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desde que demonstrada a pertinência dos ajustes para a obra ou serviço de engenharia, em relatório técnico elaborado por profissional habilitado,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 composições do SINAPI poderão ser “adaptadas” e  deverão ser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obrigatoriamente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juntadas aos autos, para o devido conhecimento dos licitantes.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casos em que houver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adaptação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 composições já existentes no Sistema SINAPI/SICRO,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preferencialmente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deve-se utilizar insumos ou composições também extraídas desses sistemas vez que a Lei n. 14.133, de 2021, exige que a utilização de outras fontes somente ocorra por inviabilidade de utilização dos elementos das composições oficiais.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que diz respeito aos demais custos de referência extraídos de fontes extra-SINAPI – dentre aquelas autorizadas no art. 23, §2º da citada Lei – também é necessário que as respectivas composições de custos unitários sejam devidamente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detalhadas e juntadas aos autos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são as chamadas composições “próprias”.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2250f4o" w:id="88"/>
      <w:bookmarkEnd w:id="8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Além de juntar aos autos as respectivas composições, no caso de utilização dessas outras fontes, cabe ao orçamentista se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assegurar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 que se trata de fontes acessíveis aos licitantes e, quando se tratar de tabelas, que as planilhas de custos façam referência aos códigos utilizados por essas tabelas e  que elas tenham sido devidamente aprovadas.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Deve-se notar que a escolha de materiais, profissionais ou atividades não relacionadas nos sistemas oficiais existentes recomenda a devida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motivação técnica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Ademais, a utilização de mão de obra de profissionais não discriminados na tabela SINAPI, além da justificativa da necessidade específica do tipo de profissional, deverá apresentar a respectiva composição do custo unitário acompanhada da discriminação analítica de todos os tributos e encargos sociais incidentes sobre cada profissional.</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Nesse sentido, a justificativa detalhada quanto à elaboração da planilha analítica, onde se certifique a observância de tais recomendações, mostra-se imperativa.</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hyperlink w:anchor="bookmark=id.2jxsxqh">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319y80a" w:id="89"/>
    <w:bookmarkEnd w:id="89"/>
    <w:p w:rsidR="00000000" w:rsidDel="00000000" w:rsidP="00000000" w:rsidRDefault="00000000" w:rsidRPr="00000000" w14:paraId="000001E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haapch" w:id="90"/>
      <w:bookmarkEnd w:id="9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CUSTOS DIRETOS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Custos diretos são aqueles que podem ser discriminados nominalmente e surgem como novos para a contratada, exclusivamente em função das obrigações assumidas para a execução do contrato. Destarte, não podem ser considerados custos diretos os encargos tributários pré-existentes e os custos decorrentes da manutenção do escritório central da empresa. Demais disso,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não podem ser cotados na composição do BDI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São classificados como custos diretos os insumos materiais, a mão de obra empregada e os respectivos encargos suportados em razão exclusiva do cumprimento do contrato, a mobilização, a desmobilização, a instalação do canteiro e do acampamento, por exemplo.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Acórdão n. 2.622/2013-Plenário, o TCU também tratou especificamente do custo direto de administração local. Assim, após cuidadoso estudo, foram adotados os seguintes padrões para o percentual de administração local a ser inserido no custo direto da obra de construção de edifícios: 3,49% (1º quartil) - 6,23% (médio) - 8,87% (3º quartil).</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Somente devem ser inseridas em tal rubrica as despesas efetivamente incorridas pela empresa ao executar a obra, devidamente detalhadas, conforme orientações do TCU – “Orientações para elaboração de planilhas orçamentárias de obras públicas”: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É importante também observar que a administração local depende da estrutura organizacional que o construtor vier a montar para a condução de cada obra e de sua respectiva lotação de pessoal. Não existe modelo rígido para esta estrutura, mas deve-se observar a legislação profissional do Sistema Confea e as normas relativas à higiene e segurança do trabalho. As peculiaridades inerentes a cada obra determinarão a estrutura organizacional necessária para bem administrá-la. A concepção dessa organização, bem como da lotação em termos de recursos humanos requeridos, é tarefa de planejamento, específica do executor da obra.</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Caberá ao orçamentista realizar um ensaio sobre a questão, com vistas a estabelecer bases para estimar os custos envolvidos na administração local. Devem ser consideradas as características da obra, a estratégia adotada para sua execução, o cronograma, bem como a dispersão geográfica das frentes de trabalho.</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mais, assim como os demais custos diretos, a Administração deverá atentar para a necessidade de definir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do Acórdão n. 2.622, de 2013, do TCU.</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3j2qqm3">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40ew0vw" w:id="91"/>
    <w:bookmarkEnd w:id="91"/>
    <w:p w:rsidR="00000000" w:rsidDel="00000000" w:rsidP="00000000" w:rsidRDefault="00000000" w:rsidRPr="00000000" w14:paraId="000001F6">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1gf8i83" w:id="92"/>
      <w:bookmarkEnd w:id="92"/>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DAS CURVAS ABC DOS SERVIÇOS E INSUMOS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das planilhas orçamentárias, cabe também elaborar a Curva ABC, assim definida no manual de Orientações para Elaboração de Planilhas Orçamentárias de Obras Públicas do TCU:</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2.19 Curva ou Classificação ABC de Serviços: tabela obtida a partir da planilha orçamentária da obra, na qual os itens do orçamento são agrupados e, posteriormente, ordenados por sua importância relativa de preço total, em ordem decrescente, determinando-se o peso percentual do valor de cada um em relação ao valor total do orçamento, calculando-se em seguida os valores percentuais acumulados desses pesos.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importância da curva ABC reside na análise das planilhas orçamentárias. É relativamente frequente a existência de orçamentos com grande quantidade de itens de serviço distintos. Em tais circunstâncias, a curva ABC de serviços permite a avaliação global do orçamento com o exame de apenas uma parte dos serviços.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2.20 Curva ABC de insumos: apresenta todos os insumos da obra (material, mão de obra e equipamentos) classificados em ordem decrescente de relevância. Para sua confecção, necessita-se da composição de custos unitários de todos os serviços da obra para o agrupamento dos insumos similares de cada serviço.</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curva ABC de insumos é uma ferramenta que cria várias facilidades para a orçamentação de uma obra, proporcionando que o orçamentista refine o orçamento mediante pesquisa de mercado dos insumos mais significativos. Também auxilia no planejamento e programação de obras, pois fornece o efetivo de mão de obra e a quantidade dos diversos tipos de equipamentos necessários para a execução da obra.</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caso, uma das funções principais da Curva ABC é definir as parcelas mais relevantes da contratação sob o prisma econômico, a fim de permitir a indicação dos serviços cuja execução prévia deverá ser comprovada nos atestados de capacidade técnica apresentados pelo licitante (requisito de qualificação técnica). Além disso, permite apontar os insumos que podem ser objeto da incidência de BDI Diferenciado.</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Ademais, a Curva ABC também é importante instrumento para a análise de riscos da contratação e a previsão de mecanismos de gestão e fiscalização contratual, além de guiar a análise crítica dos pleitos de modificação das planilhas orçamentárias por meio de aditivos, para verificar o ponto de equilíbrio econômico-financeiro do contrato e a potencial ocorrência de “jogo de planilha” ou sobrepreços relevantes.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fim, o próprio TCU costuma utilizar a Curva ABC em suas auditorias para averiguar tais irregularidades nos processos de tomada de contas de obras e serviços de engenharia – cabendo ao órgão diligente se antecipar e preparar sua própria versão do documento, a fim de antever eventuais fragilidades em suas planilhas orçamentárias.</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 ponto de vista prático, a relevância desse documento pode ser assim resumida: Indicar os itens em relação aos quais se deve exigir atestados; indicar o percentual que será solicitado nos atestados (até 50% - TCU); e, indicar a importância de BDI diferenciado para equipamentos.</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hyperlink w:anchor="bookmark=id.4i7ojhp">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upglbi" w:id="93"/>
    <w:bookmarkEnd w:id="93"/>
    <w:p w:rsidR="00000000" w:rsidDel="00000000" w:rsidP="00000000" w:rsidRDefault="00000000" w:rsidRPr="00000000" w14:paraId="0000020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2fk6b3p" w:id="94"/>
      <w:bookmarkEnd w:id="94"/>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ADOÇÃO DO REGIME DE DESONERAÇÃO TRIBUTÁRIA</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órgão promotor da licitação deve atentar para o regime de tributação que está sendo considerado no orçamento de referência da Administração, mormente se está ou não considerando no BDI adotado no certame os efeitos da Contribuição Previdenciária sobre a Renda Bruta (CPRB), ou seja, da desoneração tributária, evidentemente, enquanto ela estiver vigente e aplicável às empresas do setor de engenharia.</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Atualmente, o regime de desoneração tributária é facultativo para as empresas de construção civil – e é por isso que o SINAPI e demais tabelas de referência de preços divulgam duas versões concomitantes: encargos sociais "desonerados" e "não desonerados".</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conforme divulgado no Informativo de Licitações e Contratos n. 257 do TCU, esta Corte entendeu que o tratamento tributário diferenciado previsto na Lei n. 12.546, de 2011, não ampara a adoção de dois orçamentos estimativos como critério de aceitabilidade de preços máximos na licitação, a depender de a licitante recolher a contribuição previdenciária sobre o valor da receita bruta ou sobre o valor da folha de pagamento (Acórdão n. 6.013/2015 - 2ª Câmara).</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Portanto, ao elaborar o orçamento de referência de cada licitação, cabe ao setor técnico</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justificar a opção por uma ou outra tabela do SINAPI, conforme o cenário que se revelar mais vantajoso para a Administração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segundo as premissas do PARECER n. 44/2019/DECOR/CGU/AGU:</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 Na fase preparatória da licitação, ao fazer uma estimativa do valor do futuro contrato, a Administração deverá confeccionar um único orçamento de referência, no qual considerará o regime tributário que lhe for mais vantajoso, embora os licitantes possam elaborar suas planilhas de custos e formação de preços com observância do regime tributário a que se sujeitam.</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 Caso o licitante adote em sua proposta os critérios constantes do orçamento de referência (se estes não lhe foram aplicáveis), não pode, em hipótese de adjudicação e ulterior contratação, pleitear reequilíbrio econômico do contrato com base nesta discrepância.</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 Durante a análise das propostas, a comissão de licitação ou o pregoeiro deverão analisar a adequação do planilhamento feito pelo licitante com eventual opção ou não pela desoneração previdenciária, tendo em vista que tal diligência é essencial para a verificação da exequibilidade da planilha de formação de preços, bem como para afastar eventuais riscos de inexecução contratual.</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ao setor técnico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anexar nos autos a simulação dos preços globais da obra ou serviço, com base nos dois cenários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custos “desonerados” (acrescido o percentual da CPRB no BDI)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versus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custos “não desonerados” (excluído o percentual da CPRB no BDI) – para justificar a opção mais vantajosa para a Administração, a qual será adotada como orçamento de referência da licitação.</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Necessariamente o projeto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deverá</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declarar se a atividade a ser contratada se encontra entre os itens da Classificação Nacional de Atividades Econômicas - CNAE para fins de utilização das tabelas desoneradas.</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1ci93xb">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1tuee74" w:id="95"/>
    <w:bookmarkEnd w:id="95"/>
    <w:p w:rsidR="00000000" w:rsidDel="00000000" w:rsidP="00000000" w:rsidRDefault="00000000" w:rsidRPr="00000000" w14:paraId="0000020C">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3ep43zb" w:id="96"/>
      <w:bookmarkEnd w:id="96"/>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DETALHAMENTO DA COMPOSIÇÃO DO PERCENTUAL DE BDI.</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termos do art. 23, §2º, da Lei n. 14.133, de 2021, ao valor estimado do objeto deverão ser acrescidos o percentual de Benefícios e Despesas Indiretas (BDI) de referência e os Encargos Sociais (ES) cabíveis.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falta de um critério legal para a definição do BDI, recomenda-se a utilização dos parâmetros estabelecidos pelo Tribunal de Contas da União, que, no Acórdão TCU n. 2.622/2013 discrimina os itens mínimos componentes do BDI: taxa de rateio da administração central, riscos, seguros, garantias, despesas financeiras, remuneração da empresa contratada e tributos incidentes sobre o faturamento.</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Depreende-se, ainda, do referido acórdão, os seguintes parâmetros:</w:t>
      </w:r>
    </w:p>
    <w:p w:rsidR="00000000" w:rsidDel="00000000" w:rsidP="00000000" w:rsidRDefault="00000000" w:rsidRPr="00000000" w14:paraId="000002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Não poderão integrar o cálculo do BDI os tributos que não incidam diretamente sobre a prestação em si, como o IRPJ, CSLL e ICMS, independente do critério da fixação da base de cálculo, como ocorre com as empresas que calculam o imposto de renda com base no lucro presumido;</w:t>
      </w:r>
    </w:p>
    <w:p w:rsidR="00000000" w:rsidDel="00000000" w:rsidP="00000000" w:rsidRDefault="00000000" w:rsidRPr="00000000" w14:paraId="000002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PIS, COFINS e ISSQN – na medida em que incidem sobre o faturamento – são passíveis de serem incluídas no cálculo do BDI, nos termos da Súmula TCU n. 254/2010;</w:t>
      </w:r>
    </w:p>
    <w:p w:rsidR="00000000" w:rsidDel="00000000" w:rsidP="00000000" w:rsidRDefault="00000000" w:rsidRPr="00000000" w14:paraId="000002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taxa de rateio da administração central não poderá ser fixada por meio de remuneração mensal fixa, mas através de pagamentos proporcionais à execução financeira da obra de modo que a entrega do objeto coincida com 100% (cem por cento) do seu valor previsto (TCU, Ac. 2622/2013-Plenário, Item 122 do voto e Item 9.3.2.2 do acórdão - No mesmo sentido: TCU, Ac. 3013/2010-Plenário, voto do relator);</w:t>
      </w:r>
    </w:p>
    <w:p w:rsidR="00000000" w:rsidDel="00000000" w:rsidP="00000000" w:rsidRDefault="00000000" w:rsidRPr="00000000" w14:paraId="000002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Adoção dos novos referenciais de percentual de BDI, em substituição aos índices mencionados no Acórdão n. 2.369/2011 e utilização da terminologia “quartil”, ao invés de padrões mínimos e máximos, como constava nas tabelas substituídas do acórdão anterior. </w:t>
      </w:r>
    </w:p>
    <w:p w:rsidR="00000000" w:rsidDel="00000000" w:rsidP="00000000" w:rsidRDefault="00000000" w:rsidRPr="00000000" w14:paraId="000002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Fixação do entendimento de que os percentuais indicados não constituem limites intransponíveis, mas referenciais de controle. </w:t>
      </w:r>
    </w:p>
    <w:p w:rsidR="00000000" w:rsidDel="00000000" w:rsidP="00000000" w:rsidRDefault="00000000" w:rsidRPr="00000000" w14:paraId="000002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Caso o orçamentista opte por adotar os custos de referência DESONERADOS, deverá acrescer o percentual de 4,5% (quatro e meio por cento) da CPRB ao BDI da obra ou serviço – ainda que extrapole os parâmetros do Acórdão n. 2.622/2013, pois os parâmetros de percentuais de BDI do Acórdão n. 2.622/2013 não contemplam a incidência da Contribuição Previdenciária sobre a Renda Bruta (CPRB) instituída pela Lei n. 12.546, de 2011. </w:t>
      </w:r>
    </w:p>
    <w:p w:rsidR="00000000" w:rsidDel="00000000" w:rsidP="00000000" w:rsidRDefault="00000000" w:rsidRPr="00000000" w14:paraId="000002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854"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Adoção de percentual de ISS compatível com a legislação tributária do(s) município(s) onde serão prestados os serviços (percentual proporcional entre o limite máximo de 5% e o limite mínimo de 2%).</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Cumpre alertar que, quanto maior a distância do percentual de BDI utilizado em relação à média indicada no acórdão, mais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robusta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deverá ser 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justificativa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a adoção do índice escolhido.</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diapasão, na justificativa, cumpre ao profissional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declarar expressamente a metodologia adotada e certificar a observâncias dos parâmetros supra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Alertamos, ainda, que, a depender do parâmetro utilizado, pode ocorrer de o BDI estar embutido no preço paradigma, caso em que o orçamentista deverá considerar tal condição, conforme alerta de Valmir Campelo e Rafael Jardim Cavalcante:</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Quando se tratar de pesquisas de preços de serviços, deve haver o cuidado de não duplicar, total ou parcialmente, o BDI já embutido no preço do serviço pesquisado. Via de regra, os preços sondados já embutem os custos indiretos necessários à execução daqueles encargos contratuais (como tributos, custos administrativos e lucro). Aplicar, novamente, o BDI contratual sobre o valor da pesquisa pode redundar na sobreavaliação de preços do serviço em comparação com os de mercado, mormente quando o serviço for executado diretamente pela futura contratada (sem a subcontratação). (CAMPELO, Valmir; CAVALCANTE, Rafael Jardim. Obras públicas comentários à jurisprudência do TCU. 4. ed. Belo Horizonte: Fórum, 2018. p. 605)</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2bn6wsx">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2szc72q" w:id="97"/>
    <w:bookmarkEnd w:id="97"/>
    <w:p w:rsidR="00000000" w:rsidDel="00000000" w:rsidP="00000000" w:rsidRDefault="00000000" w:rsidRPr="00000000" w14:paraId="0000021C">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4du1wux" w:id="98"/>
      <w:bookmarkEnd w:id="98"/>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BDI REDUZIDO SOBRE OS CUSTOS DOS MATERIAIS E EQUIPAMENTOS</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Quando o fornecimento de materiais e equipamentos para a obra ou serviço de engenharia representar parcela significativa do empreendimento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puder ser realizado separadamente do contrato principal sem comprometimento da eficiência do contrato ou da realização do seu objeto, a Administração deverá realizar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licitações diferentes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a empreitada e para o fornecimento.</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termos da SÚMULA TCU 253, “Comprovada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Ressaltamos, novamente, que a elaboração de Curva ABC poderá revelar o impacto dos preços dos materiais e equipamentos no orçamento final da obra – e embasar a decisão pela incidência do BDI reduzido.</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Portanto, quando verificar tal situação, o órgão deve adaptar o modelo de composição de BDI, de forma a prever duas composições distintas: uma incidente sobre as parcelas relativas a materiais e equipamentos, outra incidente sobre as demais parcelas do serviço.</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o estudo do Acórdão n. 2.622/2013 - Plenário do TCU, o BDI para itens de mero fornecimento de materiais e equipamentos deve corresponder aos percentuais de 11,10% (1º quartil) – 14,02% (médio) – 16,80% (3º quartil).</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todo modo, conforme art. 9°, § 2°, do Decreto n. 7.983, de 2013, no caso do fornecimento de equipamentos, sistemas e materiais em que o contratado não atue como intermediário entre o fabricante e a administração pública ou que tenham projetos, fabricações e logísticas não padronizados e não enquadrados como itens de fabricação regular e contínua, nos mercados nacional ou internacional, o BDI poderá ser calculado e justificado com base na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complexidade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da aquisição, excetuando-se a regra anteriormente prevista.</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fim, convém esclarecer que o BDI Diferenciado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não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abrange os materiais ordinários da contratação (Acórdão TCU n. 2842/2011-Plenário).</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184mhaj" w:id="99"/>
      <w:bookmarkEnd w:id="99"/>
      <w:hyperlink w:anchor="bookmark=id.3as4poj">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279ka65" w:id="100"/>
    <w:bookmarkEnd w:id="100"/>
    <w:p w:rsidR="00000000" w:rsidDel="00000000" w:rsidP="00000000" w:rsidRDefault="00000000" w:rsidRPr="00000000" w14:paraId="00000224">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3s49zyc" w:id="101"/>
      <w:bookmarkEnd w:id="10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ELABORAÇÃO DE CRONOGRAMA FÍSICO-FINANCEIRO</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termos do art. 12 do Decreto n. 7.983, de 2013, a minuta de contrato deverá conter cronograma físico-financeiro com a especificação física completa das etapas necessárias à medição, ao monitoramento e ao controle das obras.</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Conforme explica o Manual de Obras e Serviços de Engenharia da AGU, o cronograma físico-financeiro consiste na divisão da obra ou serviço de engenharia em fases que deverão ser executadas sequencialmente, onde cada uma delas prevê as atividades que serão realizadas e os respectivos prazos de execução, ao final das quais a Administração deverá verificar o devido cumprimento em comparação com as especificações dos projetos básico/executivo e atestar as condições daquilo que foi entregue pela contratada a fim de determinar as correções devidas pelo executor da obra ou comunicar ao setor financeiro competente a possibilidade de deflagração dos procedimentos pertinentes ao pagamento da etapa cumprida.</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empreitada por preço global, o cronograma adquire importância ímpar, pois o critério de aceitabilidade da proposta vencedora não incidirá sobre seus preços unitários, e sim sobre o preço de cada uma das etapas previstas no referido documento, que deverá ficar igual ou abaixo dos preços de referência correspondentes da administração pública (art. 13, inciso I e parágrafo único do Decreto n. 7.983, de 2013).</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 mesma forma, durante a execução contratual, a remuneração devida à contratada também seguirá o valor de cada etapa do cronograma – sendo altamente recomendável que a previsão de pagamento coincida com 100% (cem por cento) da conclusão da respectiva etapa, a fim de se evitar a necessidade de medição (atividade própria da empreitada por preço unitário).</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Já na empreitada por preço unitário, os pagamentos são atrelados aos quantitativos efetivamente executados pela contratada, com base nos preços unitários registrados em sua planilha. Ainda assim, o cronograma é importante instrumento para acompanhar as etapas de execução contratual, além de também basear a medição dos serviços prestados.</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49x2ik5">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36ei31r" w:id="102"/>
    <w:bookmarkEnd w:id="102"/>
    <w:p w:rsidR="00000000" w:rsidDel="00000000" w:rsidP="00000000" w:rsidRDefault="00000000" w:rsidRPr="00000000" w14:paraId="0000022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meukdy" w:id="103"/>
      <w:bookmarkEnd w:id="10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PROJETO EXECUTIVO</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projeto executivo é requisito obrigatório da contratação de obras e serviços (art. 46, § 1º, da Lei n. 14.133, de 2021) - inclusive nos casos de contratação direta (art. 72, I, da Lei n. 14.133, de 2021) - e deve ser realizado na fase preparatória da licitação, previamente à elaboração do edital do certame (art. 18, II, da Lei n. 14.133, de 2021).</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a definição legal, é o conjunto dos elementos necessários e suficientes à execução completa da obra, com o detalhamento das soluções previstas no projeto básico, a identificação de serviços, de materiais e de equipamentos a serem incorporados à obra, bem como suas especificações técnicas, de acordo com as normas técnicas pertinentes (art. 6º, XXVI, da Lei n. 14.133, de 2021).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a Administração poderá autorizar que o projeto executivo seja elaborado pelo próprio contratado, concomitantemente com a execução da obra ou serviço (art. 14, § 4º, da Lei n. 14.133, de 2021).</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 tal situação, para que a tarefa de elaboração do projeto executivo possa ser repassada à contratada, é necessário que os documentos técnicos prévios da licitação sejam suficientemente detalhados, com a descrição completa das características e especificações relevantes do objeto licitado, nos termos do art. 6°, XXV, da Lei n. 14.133, de 2021.O projeto básico deve possuir nível de precisão e detalhamento que permita caracterizar adequadamente o empreendimento, inferir seus custos reais e definir metodologia e prazo de execução. Não é admissível a realização de licitação com base em projeto básico deficiente, carente dos detalhamentos exigidos por lei, para que, em momento seguinte à contratação, quando da elaboração do projeto executivo pela contratada, sejam procedidas expressivas alterações no projeto. Nesse sentido, preceitua o Manual de Obras e Serviços de Engenharia da AGU:</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deverá ser tão precisa que a elaboração do projeto executivo se torne algo que pode ser realizado por qualquer uma das licitantes sem grandes variações, tal como se fosse um “serviço de prateleira”, isto é, semelhante a um serviço comum de engenharia.</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preço ou no bem que interessa à Administração.</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Ressalta-se que, caso a responsabilidade pela elaboração dos projetos executivos seja transferida à contratada, isso deve constar como obrigação específica no Termo de Referência ou Projeto Básico e os custos inerentes devem estar contemplados na proposta.</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fim, é importante mencionar que, excepcionalmente, admite-se, nos termos do § 1º do art. 46 da Lei n. 14.133, de 2021, a contratação de obras e serviços comuns de engenharia sem projeto executivo nos casos em que o estudo técnico preliminar demonstrar a inexistência de prejuízo para a aferição dos padrões de desempenho e qualidade almejados e a especificação do objeto puder ser realizada apenas em termo de referência ou em projeto básico.</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16"/>
          <w:szCs w:val="16"/>
          <w:u w:val="none"/>
          <w:shd w:fill="auto" w:val="clear"/>
          <w:vertAlign w:val="baseline"/>
        </w:rPr>
      </w:pPr>
      <w:hyperlink w:anchor="bookmark=id.147n2zr">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45jfvxd" w:id="104"/>
    <w:bookmarkEnd w:id="104"/>
    <w:p w:rsidR="00000000" w:rsidDel="00000000" w:rsidP="00000000" w:rsidRDefault="00000000" w:rsidRPr="00000000" w14:paraId="00000235">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1ljsd9k" w:id="105"/>
      <w:bookmarkEnd w:id="10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QUALIFICAÇÃO TÉCNICA</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Registro da empresa no conselho profissional</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exigência de registro da empresa na entidade profissional competente (art. 67, V, da Lei n. 14.133, de 2021) refere-se à atividade básica do objeto da contratação - conforme entende o TCU:</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 O registro ou inscrição na entidade profissional competente, previsto no art. 30, inciso I, da Lei 8.666/1993, deve se limitar ao conselho que fiscalize a atividade básica ou o serviço preponderante da licitação." (Acórdão nº 2.769/2014 – Plenário)</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ponto, destaca-se que a Lei n. 13.639, de 2018, criou o Conselho Federal dos Técnicos Industriais – CFT e a Resolução CFT n. 101,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Capacidade técnico-operacional</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comprovação da capacidade técnico-operacional deve limitar-se às parcelas simultaneamente de maior relevância e valor significativo do objeto licitado (Súmula n. 263/2011-TCU), assim consideradas as que tenham valor individual igual ou superior a 4% (quatro por cento) do valor total estimado da contratação, conforme art. 67, § 1º, da Lei n. 14.133, de 2021.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Como mencionado, um instrumento fundamental para definir quais seriam tais parcelas em cada licitação é a Curva ABC, tanto para os serviços quanto para os insumos necessários à execução do objeto. Tal documento agrupa e ordena os itens do orçamento de acordo com seu peso no valor total estimado para a contratação – e permite visualizar os itens de maior relevância econômica.</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mais, 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TCU, a propósito, já considerou irregular a exigência de qualificação técnica “em item sem grande complexidade técnica” (Acórdão n.33/2013 – Plenário), bem como “relativa à execução de serviço de pequena complexidade técnica” (Acórdão n. 1.898/2011 – Plenário).</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Lei n. 14.133, de 2021, em consonância com consolidada jurisprudência do TCU (Acórdãos n.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 1.771/2007 – Plenário).</w:t>
      </w:r>
    </w:p>
    <w:p w:rsidR="00000000" w:rsidDel="00000000" w:rsidP="00000000" w:rsidRDefault="00000000" w:rsidRPr="00000000" w14:paraId="00000244">
      <w:pPr>
        <w:pageBreakBefore w:val="0"/>
        <w:widowControl w:val="1"/>
        <w:spacing w:after="0"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Possibilidade de somatório dos atestados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defende a jurisprudência do TCU, cabe aceitar o somatório de atestados para atingimento dos quantitativos mínimos dos serviços demandados na capacitação técnico-operacional do licitante (Acórdãos n. 170/2007, 1.631/2007, 727/2009, 1.382/2009, 1.823/2009, 2.783/2009, 3.260/2011, 342/2012, 1.028/2012, 1.231/2012, 1.380/2012, 1.552/2012, 2.869/2012 e 1.391/2014 – Plenário).</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Consequentemente, sem que haja devida justificativa técnica, é inviável a fixação de quantidade mínima ou máxima de atestados, de serviços por atestados ou que vedem o somatório de atestados, bem como as limitações de tempo, época, locais específicos ou quaisquer outras não previstas em lei, que inibam a participação da licitação (Acórdãos 1.090/2001, 1.636/2007, 170/2007, 2.640/2007, 1.163/2008, 2.150/2008, 2.783/2009, 3.119/2010 e 3.170/2011, 1079/2013-Plenário (itens 9.5.1 a 9.5.3) (todos do Plenário).</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Daí a finalidade da vedação ao somatório de atestados: a empresa deverá provar já ter executado os serviços de maior dimensão numa única contratação, e não por meio de diversas contratações separadas.</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 2.032/2020 – Plenário)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Porém, na situação contrária, "se o aumento de quantitativos do serviço não incrementa, incontestavelmente, a complexidade técnica da tarefa, não há motivos para estabelecer limite para o número de atestados" (Acórdão n. 2.760/2012 - Plenário).</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Capacitação técnico-profissional</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 ARTs, RRTs e TRSs emitidas em nome de cada profissional são compiladas na respectiva Certidão de Acervo Técnico – CAT, expedida pelo CREA, CAU ou CRT, conforme o caso.</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 14.133, de 2021).</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Novamente, a Curva ABC é instrumento fundamental para definir quais seriam tais parcelas em cada licitação.</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Diversamente do que dispunha a Lei de Licitações revogada, a Lei n. 14.133, de 2021,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Exigências de instalações, aparelhamentos e pessoal técnico</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o art. 67, inciso II, da Lei n. 14.133, de 2021,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Isso acaba revestindo a exigência de algo absolutamente formal, sem acréscimo algum à garantia do cumprimento das obrigações. Pelo contrário, representa um risco de trazer problemas para a licitação, porque pode inclusive passar desapercebida pela licitante - e eventualmente a melhor proposta vir a ser desclassificada por conta dessa formalidade.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qualquer forma, em havendo itens específicos reputados necessários para a execução da obra ou serviço, como determinadas máquinas, equipamentos ou pessoal técnico, o órgão poderá inserir a referida exigência, acrescida, caso necessário, da relação dos compromissos assumidos pelo licitante que importem em diminuição da disponibilidade do pessoal técnico (art. 67, § 8º, da Lei n. 14.133, de 2021).</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ff0000"/>
          <w:sz w:val="16"/>
          <w:szCs w:val="16"/>
          <w:u w:val="none"/>
          <w:shd w:fill="auto" w:val="clear"/>
          <w:vertAlign w:val="baseline"/>
        </w:rPr>
      </w:pPr>
      <w:hyperlink w:anchor="bookmark=id.23ckvvd">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zu0gcz" w:id="106"/>
    <w:bookmarkEnd w:id="106"/>
    <w:p w:rsidR="00000000" w:rsidDel="00000000" w:rsidP="00000000" w:rsidRDefault="00000000" w:rsidRPr="00000000" w14:paraId="0000025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2koq656" w:id="107"/>
      <w:bookmarkEnd w:id="10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VISTORIA</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Quando a avaliação prévia do local de execução dos serviços for imprescindível para o conhecimento pleno das condições e peculiaridades do objeto a ser contratado, o edital de licitação poderá prever, sob pena de inabilitação, a necessidade de o licitante atestar que conhece o local e as condições de realização da obra ou serviço, assegurando-se ao licitante o direito de realização de vistoria prévia (art. 63, § 2º, da Lei n. 14.133, de 2021).</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Lei n. 14.133, de 2021 determina que a o edital de licitação sempre deverá prever a possibilidade de substituição da vistoria por declaração formal assinada pelo responsável técnico do licitante acerca do conhecimento pleno das condições e peculiaridades da contratação (art. 63, § 2º). Portanto, a partir da nova regulamentação legal da matéria, não é mais admitida a obrigatoriedade de vistoria prévia. Caso o órgão licitante entenda fundamental o conhecimento das condições próprias do local, poderá exigir apenas que o licitante apresente declaração de que conhece as condições do local.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 consonância com o entendimento manifestado pelo Tribunal de Contas da União no Acórdão 170/2018 – Plenário (Informativo 339), a vistoria prévia deixa de ser uma obrigação passível de ser imposta pela Administração, e se transforma em um direito das empresas licitantes, que podem solicitar ao órgão responsável pelo certame a verificação prévia das condições do local onde os serviços serão executados.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32hioqz">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1yyy98l" w:id="108"/>
    <w:bookmarkEnd w:id="108"/>
    <w:p w:rsidR="00000000" w:rsidDel="00000000" w:rsidP="00000000" w:rsidRDefault="00000000" w:rsidRPr="00000000" w14:paraId="0000025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3jtnz0s" w:id="109"/>
      <w:bookmarkEnd w:id="10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SUBCONTRATAÇÃO</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art. 122 da Lei n. 14.133, de 2021, admite a subcontratação parcial de obra, serviço ou fornecimento, até o limite autorizado pela Administração. A subcontratação, desde que autorizada pela Administração, possibilita que terceiro, que não participou do certame licitatório, realize parte do objeto.</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Vejamos também a doutrina de Marçal Justen Filho:</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subcontratação torna-se cabível, senão inevitável, quando o objeto licitado comporta uma execução complexa, em que algumas fases, etapas ou aspectos apresentam individualidade e são desempenhadas por terceiros especializados.</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evolução dos princípios organizacionais produziu o fenômeno terceirização, que deriva dos princípios da especialização e da concentração de atividades. Em vez de desempenhar integralmente todos os ângulos de uma atividade, as empresas tornam-se especialistas em certos setores.</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escolha da Administração deve ser orientada pelos princípios que regem a atividade privada.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iniciativa privada, prevalece a subcontratação na execução de certas prestações. Essa é a solução economicamente mais eficiente e tecnicamente mais satisfatória.</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Administração tem o dever de adotar as práticas mais eficientes, incorporando as práticas próprias da iniciativa privada. Logo, o ato convocatório deve permitir, quando viável, que idênticos procedimentos sejam adotados na execução do contrato administrativo.</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Ao admitir a subcontratação, a Administração obtém vantagens econômicas decorrentes dos ganhos de eficiência do particular contratado.</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Estabelecendo regras diversas das práticas entre os particulares, a Administração reduz a competitividade do certame. É óbvio que se pressupõe, em todas as hipóteses, que a Administração comprove se as práticas usuais adotadas pela iniciativa privada são adequadas para satisfazer os interesses fundamentais.</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subcontratação pode representar inclusive um fator de ampliação da competição. Há certas atividades dotadas de especialização, complexidade e onerosidade diferenciada. Impor a sua execução de modo necessário pelo próprio contratado pode resultar na redução do universo de possíveis licitantes. Permitir a subcontratação em tais casos é justificado pelas mesmas razões que legitimam a participação de empresas em consórcio.</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(Comentários à lei de licitações e contratações administrativas. Thomson Reuters Revista dos Tribunais. Edição do Kindle. pp. 1349-1350).</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§2º do art. 122 possibilita que edital ou regulamento vedem, restrinjam ou estabeleçam condições para a subcontratação. Trata-se de uma faculdade. Portanto, não é obrigatório que o instrumento convocatório ou seus anexos estabeleçam limites à subcontratação. Caso o instrumento convocatório ou seus anexos não delimitem a possibilidade de subcontratação, durante a fase preparatória da licitação, a Administração poderá estabelecer esses limites durante a execução do contrato.</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Embora facultativa na fase preparatória, o estabelecimento de condições mínimas para a subcontratação no instrumento convocatório ou em seus anexos é medida que atende aos princípios da impessoalidade, da publicidade, do interesse público, da probidade administrativa, da igualdade, do planejamento, da transparência, da vinculação ao edital, do julgamento objetivo e da segurança jurídica.</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 vigência da Lei n. 8.666, de 1993, consolidou-se o entendimento no sentido de que não poderiam ser subcontratadas as parcelas tecnicamente mais complexas ou de valor mais significativo do objeto, que motivaram a necessidade de comprovação de capacidade financeira ou técnica pela licitante contratada (Acórdão 3144/2011-Plenário).</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Contudo, o §9º do art. 67 da Lei n. 14.133, de 2021, expressamente admitiu a possibilidade de que a qualificação técnica do licitante, para aspectos técnicos específicos, seja demonstrada por meio de atestados relativos a potencial subcontratado, limitado a 25% (vinte e cinco por cento) do objeto a ser licitado. Por sua vez, o §1º desse artigo limitou a exigência de atestados às parcelas de maior relevância ou valor significativo do objeto da licitação, assim consideradas as que tenham valor individual igual ou superior a 4% (quatro por cento) do valor total estimado da contratação.</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Portanto, os §§1º e 9º do art. 67 expressamente possibilitam a subcontratação de parcelas de maior relevância ou valor significativo do objeto da licitação.</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Embora caiba à Administração o juízo de conveniência e oportunidade sobre a possibilidade técnica e a viabilidade de admitir a subcontratação, deve observar o princípio da motivação das decisões administrativas, ainda que discricionárias, considerando que, no Acórdão n. 1.453/2009, Plenário, a Corte de Contas manifestou-se no sentido de que “o princípio da motivação exige que a Administração Pública indique os fundamentos de fato e de direito de suas decisões, inclusive das discricionárias.”</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 vedação da subcontratação ou o estabelecimento ou não de condições para a sua adoção deve ser motivada pela área técnica do órgão assessorado.</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41mghml">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2y3w247" w:id="110"/>
    <w:bookmarkEnd w:id="110"/>
    <w:p w:rsidR="00000000" w:rsidDel="00000000" w:rsidP="00000000" w:rsidRDefault="00000000" w:rsidRPr="00000000" w14:paraId="0000027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4iylrwe" w:id="111"/>
      <w:bookmarkEnd w:id="11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DEFINIÇÃO DO PERCENTUAL DE CAPITAL OU PATRIMÔNIO LÍQUIDO MÍNIMO</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art. 22 da Instrução Normativa SEGES/MPDG n. 3, de 2018, estabelece que a comprovação da situação financeira das empresas será constatada mediante obtenção de índices de Liquidez Geral (LG), Solvência Geral (SG) e Liquidez Corrente (LC).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 8.666, de 1993, como exigência para sua habilitação.</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Os §§2º e 3º do art. 31 da Lei n. 8.666, de 1993, correspondem ao §4º do art. 69 da Lei n.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vx1227">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3x8tuzt" w:id="112"/>
    <w:bookmarkEnd w:id="112"/>
    <w:p w:rsidR="00000000" w:rsidDel="00000000" w:rsidP="00000000" w:rsidRDefault="00000000" w:rsidRPr="00000000" w14:paraId="0000027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1d96cc0" w:id="113"/>
      <w:bookmarkEnd w:id="11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PARTICIPAÇÃO DE CONSÓRCIOS</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 14.133, de 2021.</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 1.165/2012 – Plenário).</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1v1yuxt">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rjefff" w:id="114"/>
    <w:bookmarkEnd w:id="114"/>
    <w:p w:rsidR="00000000" w:rsidDel="00000000" w:rsidP="00000000" w:rsidRDefault="00000000" w:rsidRPr="00000000" w14:paraId="0000027C">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2ce457m" w:id="115"/>
      <w:bookmarkEnd w:id="11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PARTICIPAÇÃO DE COOPERATIVAS</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participação de cooperativas em certames licitatórios é admitida quando atendidos os requisitos previstos nos incisos I a IV do art. 16 da Lei n. 14.133, de 2021.</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 5, de 2017.</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igual modo, o Parecer n. 096/2015/DECOR/CGU/AGU (00407.004648/2014-96, Seq. 14) tem a seguinte ementa:</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 As Cooperativas de Trabalho, na forma da Lei nº 12.690, de 2012, são sociedades constituídas para o exercício de atividades laborais em proveito comum, com autonomia coletiva e coordenada, mediante autogestão e adesão voluntária e livre.</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 - Os serviços abrangidos pelo termo de conciliação judicial firmado entre a União e o Ministério Público do Trabalho se caracterizam pela pessoalidade, subordinação e não eventualidade.</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IV – Proscrição que se volta para proteger os valores sociais do trabalho e prevenir a responsabilização da União por encargos trabalhistas.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meio do Parecer n. 00002/2023/DECOR/CGU/AGU, o Departamento de Coordenação e Orientação de Órgãos Jurídicos da Advocacia-Geral da União (Decor/CGU/AGU), considerou que se mantém na Lei n. 14.133, de 2021, a proibição de contratação de cooperativas quando o objeto do contrato exija relação de subordinação entre os cooperados e a cooperativa ou entre aqueles e o tomador de serviços, conforme Ementa abaixo: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EMENTA: LICITAÇÕES E CONTRATOS. SOCIEDADES COOPERATIVAS. POSSIBILIDADE DE PARTICIPAÇÃO EM LICITAÇÕES. TERCEIRIZAÇÃO. CONTRATAÇÃO DE COOPERATIVAS PARA PRESTAÇÃO DE SERVIÇOS COM DEDICAÇÃO EXCLUSIVA DE MÃO DE OBRA. ALTERAÇÃO LEGISLATIVA. SUPERVENIÊNCIA DA LEI N. 14.133/2021. EXISTÊNCIA DE TERMO DE CONCILIAÇÃO JUDICIAL NOS AUTOS DE AÇÃO CIVIL PÚBLICA TRABALHISTA. ANÁLISE SOBRE A NECESSIDADE DE REVISÃO/REVOGAÇÃO DOTERMO DE CONCILIAÇÃO.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 caso positivo, a participação de cooperativas será permitida. Do contrário, deve ser vedada a participação de cooperativas no certame.</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2u6wntf">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1qoc8b1" w:id="116"/>
    <w:bookmarkEnd w:id="116"/>
    <w:p w:rsidR="00000000" w:rsidDel="00000000" w:rsidP="00000000" w:rsidRDefault="00000000" w:rsidRPr="00000000" w14:paraId="0000028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3bj1y38" w:id="117"/>
      <w:bookmarkEnd w:id="11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GARANTIA DA EXECUÇÃO</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Conforme o parâmetro aventado pelo TCU, a garantia deve ser exigida nas contratações de maior valor, envolvendo alta complexidade técnica e riscos financeiros consideráveis (Acórdão n. 3.126/2012 – Plenário).</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Vejamos o alerta de Marçal Justen Filho:</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709.0000000000003"/>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(Comentários à Lei de Licitações e Contratos Administrativos, 11ª ed., São Paulo: Dialética, 2005, p. 499)</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a exigência deve ser avaliada em cada caso concreto, com base no grau de risco de prejuízo ao interesse público, frente à particularidade do objeto licitado.</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todo modo, a palavra final sempre cabe à autoridade administrativa – cabendo-lhe justificar sua decisão por exigir ou dispensar a garantia em cada certame, para a adequada instrução processual.</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 termos do art. 98 da Lei n. 14.133, de 2021, a garantia não excederá a 5% (cinco por cento) do valor inicial do contrato, autorizada a majoração desse percentual para até 10% (dez por cento), desde que justificada mediante análise da complexidade técnica e dos riscos envolvidos.</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Nas contratações de serviços e fornecimentos contínuos com vigência superior a 1 (um) ano, assim como nas subsequentes prorrogações, o percentual da garantia incidirá sobre o valor anual do contrato (art. 98, parágrafo único, da Lei n. 14.133, de 2021).</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intuito de evitar o abandono de obras e serviços de engenharia, a Lei n. 14.133, de 2021 inovou, admitindo que o órgão licitante exija a prestação de garantia na modalidade seguro-garantia com cláusula de retomada, modalidade de seguro conhecida como Performance Bond, em que a empresa seguradora não apenas se responsabiliza pelos prejuízos causados pela empresa executora da obra, como, ademais, compromete-se a assumir a execução e concluir o objeto do contrato, em caso de inadimplemento da contratada (art. 102).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Quando exigida a prestação de garantia na modalidade seguro-garantia com cláusula de retomada, a seguradora deverá firmar o instrumento de contrato, inclusive os termos aditivos, como interveniente anuente, e lhe será garantido o acompanhamento da execução do contrato, podendo, inclusive, ter acesso às instalações em que for executado o contrato e aos documentos da fiscalização técnica e contábil (art. 102, I, da Lei n. 14.133, de 2021)</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 caso de obras e serviços de engenharia de grande vulto, assim considerados aqueles serviços cujo valor supera o limite previsto no art. 6º, XXII, com as atualizações previstas no art. 182, ambos da Lei n. 14.133, de 2021, a Administração poderá exigir garantia na modalidade seguro-garantia, inclusive com cláusula de retomada, em percentual equivalente a até 30% (trinta por cento) do valor inicial do contrato (art. 99 da Lei n. 14.133, de 2021).</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Ademais, caso o valor da proposta vencedora seja inferior a 85% (oitenta e cinco por cento) do valor orçado pela Administração, deverá ser exigida garantia adicional equivalente à diferença entre o valor orçado pela Administração e o valor da proposta, conforme disposto no art. 59 da Lei n. 14.133, de 2021.</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hyperlink w:anchor="bookmark=id.3tbugp1">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bookmarkStart w:colFirst="0" w:colLast="0" w:name="bookmark=id.2pta16n" w:id="118"/>
    <w:bookmarkEnd w:id="118"/>
    <w:p w:rsidR="00000000" w:rsidDel="00000000" w:rsidP="00000000" w:rsidRDefault="00000000" w:rsidRPr="00000000" w14:paraId="0000029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heading=h.4anzqyu" w:id="119"/>
      <w:bookmarkEnd w:id="11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SUSTENTABILIDADE</w:t>
      </w:r>
    </w:p>
    <w:bookmarkStart w:colFirst="0" w:colLast="0" w:name="bookmark=id.3oy7u29" w:id="120"/>
    <w:bookmarkEnd w:id="120"/>
    <w:p w:rsidR="00000000" w:rsidDel="00000000" w:rsidP="00000000" w:rsidRDefault="00000000" w:rsidRPr="00000000" w14:paraId="000002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14ykbeg" w:id="121"/>
      <w:bookmarkEnd w:id="12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Desenvolvimento nacional sustentável: critérios de sustentabilidade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 obras e serviços de engenharia, a fase de planejamento da contratação deve prever a inclusão de conceitos de sustentabilidade nos projetos que serão elaborados. Assim, as ações da Administração devem ser especialmente voltadas para a redução do consumo, para a aquisição preferencial de produtos inseridos no conceito de economia circular ou que representem menor impacto ambiental e para a prevenção e o gerenciamento dos resíduos da construção (arts. 5º e 11 da Lei n. 14.133, de 2021, c/c art. 7º, XI, da Lei n. 12.305, de 2010).</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equipe de gerenciamento da contratação tem o dever legal de analisar a viabilidade de inclusão de soluções sustentáveis ainda na fase de elaboração do Estudo Técnico Preliminar. Por meio desse documento, o órgão deve identificar, do ponto de vista administrativo e funcional, quais os requisitos estruturais, funcionais e de desempenho que devem ser atendidos em uma obra ou serviço de engenharia específico. É esse documento que orienta a confecção dos projetos e dos cadernos de encargos e especificações técnicas e deve apresentar quais os reais problemas que deverão ser solucionados, bem como os objetivos que a Administração se propõe a cumprir.</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É a partir das definições contidas no Estudo Técnico Preliminar (ETP) que o Engenheiro/Arquiteto vai especificar quais os materiais a serem adquiridos, as técnicas a serem utilizadas e os custos do empreendimento. Ou seja, se a Administração insere no ETP que um determinado prédio deve ter sistemas de economia de água e energia, ou um sistema de captação e utilização de águas pluviais ou, ainda, que a disposição das salas e do layout de um edifício deve favorecer certos fatores climáticos locais, por exemplo, todas essas especificações deverão ser detalhadas no Projeto de Arquitetura ou de Engenharia a ser elaborado.</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contexto, a Administração pode, inclusive, buscar a certificação de sustentabilidade do empreendimento. O processo de certificação, quando utilizado, atesta a obediência a determinados padrões de qualidade, desempenho, bem como de conformidade a regras nacionais e internacionais.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São bem conhecidas as certificações do Programa Nacional de Conservação de Energia Elétrica – PROCEL, coordenado pelo Inmetro e o Ministério de Minas e Energia, bem como o Programa Nacional de Eficiência Energética em Edificações – PROCEL/Edifica, também coordenado pelo Inmetro em parceria com a Eletrobrás.</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meio dessas duas iniciativas foram introduzidos no Programa Brasileiro de Etiquetagem – PBE, os Requisitos Técnicos de Qualidade para o Nível de Eficiência Energética de Edifícios Comerciais, de Edifícios Públicos (RTQ-C) e o Regulamento Técnico da Qualidade para o Nível de Eficiência Energética de Edificações Residenciais (RTQ-R).</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Através dos procedimentos de submissão definidos nos Requisitos de Avaliação da Conformidade para Eficiência Energética de Edificações (RAC) é possível, inclusive, conferir a um edifício a Etiqueta Nacional de Conservação de Energia (ENCE) do Inmetro.</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meio do Acórdão n. 1666/2019-Plenário, o Tribunal de Contas da União teve a oportunidade de apreciar a legalidade da exigência de apresentação de certificações em certames, e asseverou que a Administração deve buscar o equilíbrio entre a ampla participação e as exigências de qualificação e de conteúdo das propostas.</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Também é indispensável o alinhamento da contratação ao Plano de Gestão de Logística Sustentável - PGLS do órgão. O PGLS deve orientar o perfil de todas as obras e serviços de engenharia ou arquitetura futuros, incluindo não apenas obras novas, mas também os serviços contínuos de adaptação e de manutenção predial, ainda que os atos concretos sejam realizados por meio de pequenas intervenções sob demanda ou, ainda, mediante a promoção de amplas reformas estruturais.</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No que diz respeito ao planejamento de obras e serviços de engenharia, é possível identificar três etapas principais em que o desenvolvimento sustentável deve ser observado</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a) Quando da definição dos aspectos técnicos do objeto - especificação técnica; b) Na minimização do impacto - prevenção de resíduos; e c) Quanto à destinação ambiental dos resíduos e rejeitos - gestão de resíduos.</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Advocacia-Geral da União publicou o Guia Nacional de Contratações Sustentáveis, no qual o Administrador Público encontrará subsídios que o ajudarão a trilhar o caminho da sustentabilidade.</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consulta ao Guia Nacional de Contratações Sustentáveis da CGU/AGU, assim como a inserção das previsões legais ali relacionadas nas minutas editalícias correspondentes, antes do encaminhamento do processo administrativo para Parecer jurídico, é um dever do Gestor Público.</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Ressalta-se que há possibilidade de serem incluídos outros critérios e práticas de sustentabilidade além daqueles legalmente previstos e constantes do Guia, desde que observados os demais princípios licitatórios, mediante justificativa a constar do processo administrativo.</w:t>
      </w:r>
    </w:p>
    <w:bookmarkStart w:colFirst="0" w:colLast="0" w:name="bookmark=id.j8sehv" w:id="122"/>
    <w:bookmarkEnd w:id="122"/>
    <w:p w:rsidR="00000000" w:rsidDel="00000000" w:rsidP="00000000" w:rsidRDefault="00000000" w:rsidRPr="00000000" w14:paraId="000002A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243i4a2" w:id="123"/>
      <w:bookmarkEnd w:id="12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Especificação Técnica</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planejamento da contratação devem ser observados determinados pressupostos, entre eles a especificação do objeto de acordo com critérios e práticas de sustentabilidade, a existência de obrigações a serem cumpridas durante a execução dos serviços e dos insumos a eles vinculados, bem como a incidência de normas especiais de comercialização de produtos ou de licenciamento de atividades (ex.: registro no Cadastro Técnico Federal - CTF), que são requisitos previstos na legislação de regência ou em leis especiais (ex.: arts. 66 e 67, IV, da Lei n. 14.133, de 2021). </w:t>
      </w:r>
    </w:p>
    <w:bookmarkStart w:colFirst="0" w:colLast="0" w:name="bookmark=id.1idq7dh" w:id="124"/>
    <w:bookmarkEnd w:id="124"/>
    <w:p w:rsidR="00000000" w:rsidDel="00000000" w:rsidP="00000000" w:rsidRDefault="00000000" w:rsidRPr="00000000" w14:paraId="000002A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338fx5o" w:id="125"/>
      <w:bookmarkEnd w:id="12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Minimização do Impacto</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que tange a obras e serviços de engenharia, o art. 18, § 1º, XII da Lei n. 14.133, de 2021, estabelece como um dos elementos do estudo técnico preliminar a descrição de possíveis impactos ambientais e respectivas medidas mitigadoras, incluídos requisitos de baixo consumo de energia e de outros recursos, bem como logística reversa para desfazimento e reciclagem de bens e refugos, quando aplicável”.</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art. 45 da Lei n. 14.133, de 2021, estabelece que as contratações de obras e serviços de engenharia devem respeitar as normas relativas a:</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 disposição final ambientalmente adequada dos resíduos sólidos gerados pelas obras contratadas;</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 - mitigação por condicionantes e compensação ambiental, que serão definidas no procedimento de licenciamento ambiental;</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III - utilização de produtos, de equipamentos e de serviços que, comprovadamente, favoreçam a redução do consumo de energia e de recursos naturais;</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IV - avaliação de impacto de vizinhança, na forma da legislação urbanística;</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 - proteção do patrimônio histórico, cultural, arqueológico e imaterial, inclusive por meio da avaliação do impacto direto ou indireto causado pelas obras contratadas;</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55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 - acessibilidade para pessoas com deficiência ou com mobilidade reduzida.</w:t>
      </w:r>
    </w:p>
    <w:bookmarkStart w:colFirst="0" w:colLast="0" w:name="bookmark=id.2hio093" w:id="126"/>
    <w:bookmarkEnd w:id="126"/>
    <w:p w:rsidR="00000000" w:rsidDel="00000000" w:rsidP="00000000" w:rsidRDefault="00000000" w:rsidRPr="00000000" w14:paraId="000002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42ddq1a" w:id="127"/>
      <w:bookmarkEnd w:id="127"/>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Licenciamento Ambiental</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tocante ao licenciamento ambiental, instrumento previsto na Política Nacional de Meio Ambiente (Lei 6.938, de 1981, artigos 9º, VI e 10) como boa prática de gestão administrativa é fundamental que, nos casos em que exigido, o órgão assessorado diligencie previamente perante os órgãos competentes para análise do tempo estimado para sua obtenção. </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“prioridade de tramitação nos órgãos e entidades integrantes do SISNAMA” e “celeridade” que constaram do artigo 25, 2º, da Lei 14.133, de 2021, não implicam em adoção de medidas que resultem em prejuízos ao dever de preservação ambiental, devendo ser observados todos os regramentos específicos para o licenciamento ambiental.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Registre-se que sempre que a responsabilidade pelo licenciamento for da Administração, a manifestação prévia ou licença prévia, quando cabíveis, deverão ser obtidas antes da divulgação do edital (art. 115, 4º, Lei 14.133, de 2021)</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Nas hipóteses nas quais a responsabilidade pelo licenciamento for da contratada, o órgão assessorado deverá considerá-lo no estudo técnico preliminar, na avaliação de riscos e estabelecer um cronograma físico-financeiro compatível, a fim de que seja inserido prazo adequado, evitando-se atrasos na execução contratual e futuras necessidades de prorrogação.</w:t>
      </w:r>
    </w:p>
    <w:bookmarkStart w:colFirst="0" w:colLast="0" w:name="bookmark=id.3gnlt4p" w:id="128"/>
    <w:bookmarkEnd w:id="128"/>
    <w:p w:rsidR="00000000" w:rsidDel="00000000" w:rsidP="00000000" w:rsidRDefault="00000000" w:rsidRPr="00000000" w14:paraId="000002B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wnyagw" w:id="129"/>
      <w:bookmarkEnd w:id="129"/>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Dos Resíduos e Rejeitos</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Resíduos e rejeitos são causadores de grande impacto ambiental, por tal motivo o Administrador Público deve, quando da contratação de obras e serviços de engenharia, ter como metas as seguintes políticas: (a) Da não geração; (b) Da redução; (c) Da reutilização; (d) Do tratamento; e, (e) Da disposição adequada.</w:t>
      </w:r>
    </w:p>
    <w:bookmarkStart w:colFirst="0" w:colLast="0" w:name="bookmark=id.4fsjm0b" w:id="130"/>
    <w:bookmarkEnd w:id="130"/>
    <w:p w:rsidR="00000000" w:rsidDel="00000000" w:rsidP="00000000" w:rsidRDefault="00000000" w:rsidRPr="00000000" w14:paraId="000002B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1vsw3ci" w:id="131"/>
      <w:bookmarkEnd w:id="13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Sustentabilidade como Política Transversal</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Sustentabilidade ora tratada enquadra-se no conceito de política socioambiental; contudo, devido à sua transversalidade, pode ser conjugada com outras políticas públicas, o que lhes confere maior efetividade.</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Como exemplos de políticas públicas que podem ser aplicadas em conjunto com a Sustentabilidade nas contratações públicas, temos: a Política Nacional de Resíduos Sólidos (Lei n. 12.305, de 2010); a Coleta Seletiva Cidadã na Administração Pública Federal (Decreto n. 10.936, de 2022); a Política de Incentivo às Micro e Pequenas Empresas (Lei Complementar n. 123, de 2006, e Decreto n. 8.538, de 2015); e a Política Nacional para Integração das Pessoas com Deficiência (Decreto n. 3.298, de 1999, e Decreto n. 6.949, de 2009).</w:t>
      </w:r>
    </w:p>
    <w:bookmarkStart w:colFirst="0" w:colLast="0" w:name="bookmark=id.1a346fx" w:id="132"/>
    <w:bookmarkEnd w:id="132"/>
    <w:p w:rsidR="00000000" w:rsidDel="00000000" w:rsidP="00000000" w:rsidRDefault="00000000" w:rsidRPr="00000000" w14:paraId="000002B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2uxtw84" w:id="133"/>
      <w:bookmarkEnd w:id="133"/>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Política Nacional de Resíduos Sólidos</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Assim, nos termos do inc. XI do art. 7º da Lei n. 12.305, de 2010, nas aquisições e contratações governamentais, deve ser dada prioridade para produtos reciclados e recicláveis e para bens, serviços e obras que considerem critérios compatíveis com padrões de consumo social e ambientalmente sustentáveis.</w:t>
      </w:r>
    </w:p>
    <w:bookmarkStart w:colFirst="0" w:colLast="0" w:name="bookmark=id.2981zbj" w:id="134"/>
    <w:bookmarkEnd w:id="134"/>
    <w:p w:rsidR="00000000" w:rsidDel="00000000" w:rsidP="00000000" w:rsidRDefault="00000000" w:rsidRPr="00000000" w14:paraId="000002C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bookmarkStart w:colFirst="0" w:colLast="0" w:name="_heading=h.3u2rp3q" w:id="135"/>
      <w:bookmarkEnd w:id="135"/>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 Acessibilidade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acessibilidade constitui outro aspecto relevante da sustentabilidade a ser observado pelo Gestor Público quando da contratação de obras e serviços de engenharia (Decreto n. 6.949, de 2009, e Lei n. 13.146, de 2015).</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Tribunal de Contas da União - TCU, inclusive, tem recomendado a observância dos “normativos aplicáveis à matéria, sem prejuízo de outras ações não normatizadas que visem a atender o Princípio da Isonomia, no que se refere à acessibilidade” (AC-0047-01/15-P, Plenário, Relator Bruno Dantas).</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acessibilidade caracteriza-se pela identificação e eliminação de barreiras que impeçam ou restrinjam o acesso de pessoas com deficiência ou mobilidade reduzida. É importante ressaltar que tais barreiras podem ser de natureza urbanística; arquitetônica; podem estar relacionadas aos meios de transporte; aos meios de comunicação; à forma como é prestada a informação; podem ser barreiras de origem comportamental; ou constituírem barreiras tecnológicas.</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Nesse sentido, a Administração Pública, quando da contratação de obras e serviços de engenharia deve: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 Na fase de planejamento, observar os princípios do desenho universal, concebendo os ambientes de forma a serem usados por todas as pessoas, sem necessidade de adaptação ou de projeto específico; e b) Observar os parâmetros técnicos estabelecidos pela Norma Brasileira de Acessibilidade a edificações, mobiliário, espaços e equipamentos urbanos - NBR 9050/2004.</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1134"/>
        <w:jc w:val="both"/>
        <w:rPr>
          <w:rFonts w:ascii="Arial" w:cs="Arial" w:eastAsia="Arial" w:hAnsi="Arial"/>
          <w:b w:val="1"/>
          <w:i w:val="0"/>
          <w:smallCaps w:val="0"/>
          <w:strike w:val="0"/>
          <w:color w:val="000000"/>
          <w:sz w:val="16"/>
          <w:szCs w:val="16"/>
          <w:u w:val="none"/>
          <w:shd w:fill="auto" w:val="clear"/>
          <w:vertAlign w:val="baseline"/>
        </w:rPr>
      </w:pPr>
      <w:hyperlink w:anchor="bookmark=id.nmf14n">
        <w:r w:rsidDel="00000000" w:rsidR="00000000" w:rsidRPr="00000000">
          <w:rPr>
            <w:rFonts w:ascii="Arial" w:cs="Arial" w:eastAsia="Arial" w:hAnsi="Arial"/>
            <w:b w:val="0"/>
            <w:i w:val="0"/>
            <w:smallCaps w:val="0"/>
            <w:strike w:val="0"/>
            <w:color w:val="000080"/>
            <w:sz w:val="16"/>
            <w:szCs w:val="16"/>
            <w:u w:val="single"/>
            <w:shd w:fill="auto" w:val="clear"/>
            <w:vertAlign w:val="baseline"/>
            <w:rtl w:val="0"/>
          </w:rPr>
          <w:t xml:space="preserve">Voltar ao preenchimento</w:t>
        </w:r>
      </w:hyperlink>
      <w:r w:rsidDel="00000000" w:rsidR="00000000" w:rsidRPr="00000000">
        <w:rPr>
          <w:rtl w:val="0"/>
        </w:rPr>
      </w:r>
    </w:p>
    <w:sectPr>
      <w:headerReference r:id="rId8" w:type="default"/>
      <w:footerReference r:id="rId9" w:type="default"/>
      <w:pgSz w:h="16838" w:w="11906" w:orient="portrait"/>
      <w:pgMar w:bottom="1418" w:top="2078" w:left="1418" w:right="1418" w:header="48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80808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497b0"/>
        <w:sz w:val="12"/>
        <w:szCs w:val="1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808080"/>
        <w:sz w:val="12"/>
        <w:szCs w:val="1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595959"/>
        <w:sz w:val="12"/>
        <w:szCs w:val="12"/>
        <w:u w:val="none"/>
        <w:shd w:fill="auto" w:val="clear"/>
        <w:vertAlign w:val="baseline"/>
        <w:rtl w:val="0"/>
      </w:rPr>
      <w:t xml:space="preserve">Página </w:t>
    </w:r>
    <w:r w:rsidDel="00000000" w:rsidR="00000000" w:rsidRPr="00000000">
      <w:rPr>
        <w:rFonts w:ascii="Times New Roman" w:cs="Times New Roman" w:eastAsia="Times New Roman" w:hAnsi="Times New Roman"/>
        <w:b w:val="0"/>
        <w:i w:val="0"/>
        <w:smallCaps w:val="0"/>
        <w:strike w:val="0"/>
        <w:color w:val="595959"/>
        <w:sz w:val="12"/>
        <w:szCs w:val="12"/>
        <w:u w:val="none"/>
        <w:shd w:fill="e6e6e6"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595959"/>
        <w:sz w:val="12"/>
        <w:szCs w:val="1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595959"/>
        <w:sz w:val="12"/>
        <w:szCs w:val="12"/>
        <w:u w:val="none"/>
        <w:shd w:fill="e6e6e6"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Modelos de Licitações e Contratos Rev. 1</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Atualização: novembro de 2023</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Modelo de Termo de Justificativas Técnicas Relevantes – Obras/Serviços de Engenharia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sz w:val="12"/>
        <w:szCs w:val="12"/>
        <w:rtl w:val="0"/>
      </w:rPr>
      <w:t xml:space="preserve">Fonte: AGU https://www.gov.br/agu/pt-br/composicao/cgu/cgu/modelos/licitacoesecontratos</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JUSTEN FILHO, Marçal.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Comentários à Legislação do Pregão Comum e Eletrônico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Dialética, São Paulo, 2005, pg. 30.</w:t>
      </w:r>
    </w:p>
  </w:footnote>
  <w:footnote w:id="1">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JUSTEN FILHO, Marçal.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Comentários à lei de licitações e contratos administrativos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17ª ed. São Paulo: Revista dos Tribunais, 2016, p. 195.</w:t>
      </w:r>
    </w:p>
  </w:footnote>
  <w:footnote w:id="2">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TCU. Acórdão 711/2016 Plenário. Informativo de Licitações e Contratos n. 280/2016.</w:t>
      </w:r>
    </w:p>
  </w:footnote>
  <w:footnote w:id="3">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JUSTEN FILHO, Marçal.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Comentários à Lei de Licitações e Contratações Administrativas – Nova Lei 14.133/2021 (livro eletrônico).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2ª ed. São Paulo: Thomson Reuters Brasil, 2023.</w:t>
      </w:r>
    </w:p>
  </w:footnote>
  <w:footnote w:id="4">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JUSTEN FILHO, Marçal.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Comentários à Lei de Licitações e Contratações Administrativas – Nova Lei 14.133/2021 (livro eletrônico).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2ª ed. São Paulo: Thomson Reuters Brasil, 2023.</w:t>
      </w:r>
    </w:p>
  </w:footnote>
  <w:footnote w:id="5">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Comentários à Lei de Licitações e Contratações Administrativas – Nova Lei 14.133/2021 (livro eletrônico).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2ª ed. São Paulo: Thomson Reuters Brasil,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odc9jc" w:id="136"/>
  <w:bookmarkEnd w:id="136"/>
  <w:p w:rsidR="00000000" w:rsidDel="00000000" w:rsidP="00000000" w:rsidRDefault="00000000" w:rsidRPr="00000000" w14:paraId="000002CD">
    <w:pPr>
      <w:keepNext w:val="0"/>
      <w:keepLines w:val="0"/>
      <w:widowControl w:val="0"/>
      <w:spacing w:after="0" w:line="240" w:lineRule="auto"/>
      <w:ind w:right="0"/>
      <w:rPr>
        <w:rFonts w:ascii="Arial" w:cs="Arial" w:eastAsia="Arial" w:hAnsi="Arial"/>
        <w:b w:val="1"/>
        <w:sz w:val="18"/>
        <w:szCs w:val="18"/>
      </w:rPr>
    </w:pPr>
    <w:r w:rsidDel="00000000" w:rsidR="00000000" w:rsidRPr="00000000">
      <w:rPr>
        <w:rFonts w:ascii="Arial" w:cs="Arial" w:eastAsia="Arial" w:hAnsi="Arial"/>
        <w:sz w:val="18"/>
        <w:szCs w:val="18"/>
        <w:rtl w:val="0"/>
      </w:rPr>
      <w:t xml:space="preserve">PREFEITURA DE OURO PRETO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-939163</wp:posOffset>
          </wp:positionH>
          <wp:positionV relativeFrom="paragraph">
            <wp:posOffset>-245744</wp:posOffset>
          </wp:positionV>
          <wp:extent cx="7611745" cy="1219200"/>
          <wp:effectExtent b="0" l="0" r="0" t="0"/>
          <wp:wrapNone/>
          <wp:docPr id="4" name="image1.png"/>
          <a:graphic>
            <a:graphicData uri="http://schemas.openxmlformats.org/drawingml/2006/picture">
              <pic:pic>
                <pic:nvPicPr>
                  <pic:cNvPr id="0" name="image1.png"/>
                  <pic:cNvPicPr preferRelativeResize="0"/>
                </pic:nvPicPr>
                <pic:blipFill>
                  <a:blip r:embed="rId1"/>
                  <a:srcRect b="-27" l="-5" r="-4" t="-27"/>
                  <a:stretch>
                    <a:fillRect/>
                  </a:stretch>
                </pic:blipFill>
                <pic:spPr>
                  <a:xfrm>
                    <a:off x="0" y="0"/>
                    <a:ext cx="7611745" cy="1219200"/>
                  </a:xfrm>
                  <a:prstGeom prst="rect"/>
                  <a:ln/>
                </pic:spPr>
              </pic:pic>
            </a:graphicData>
          </a:graphic>
        </wp:anchor>
      </w:drawing>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1422"/>
        <w:sz w:val="18"/>
        <w:szCs w:val="18"/>
        <w:u w:val="none"/>
        <w:shd w:fill="auto" w:val="clear"/>
        <w:vertAlign w:val="baseline"/>
      </w:rPr>
    </w:pPr>
    <w:r w:rsidDel="00000000" w:rsidR="00000000" w:rsidRPr="00000000">
      <w:rPr>
        <w:rFonts w:ascii="Arial" w:cs="Arial" w:eastAsia="Arial" w:hAnsi="Arial"/>
        <w:b w:val="0"/>
        <w:i w:val="0"/>
        <w:smallCaps w:val="0"/>
        <w:strike w:val="0"/>
        <w:color w:val="001422"/>
        <w:sz w:val="18"/>
        <w:szCs w:val="18"/>
        <w:u w:val="none"/>
        <w:shd w:fill="auto" w:val="clear"/>
        <w:vertAlign w:val="baseline"/>
        <w:rtl w:val="0"/>
      </w:rPr>
      <w:t xml:space="preserve">Praça Barão do Rio Branco, 12, Pilar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1422"/>
        <w:sz w:val="18"/>
        <w:szCs w:val="18"/>
        <w:u w:val="none"/>
        <w:shd w:fill="auto" w:val="clear"/>
        <w:vertAlign w:val="baseline"/>
        <w:rtl w:val="0"/>
      </w:rPr>
      <w:t xml:space="preserve">Ouro Preto/MG - 35402-045</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1422"/>
        <w:sz w:val="18"/>
        <w:szCs w:val="18"/>
        <w:u w:val="none"/>
        <w:shd w:fill="auto" w:val="clear"/>
        <w:vertAlign w:val="baseline"/>
        <w:rtl w:val="0"/>
      </w:rPr>
      <w:t xml:space="preserve">(31) 3559 3200 / 3559 3344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color w:val="000000"/>
      </w:rPr>
    </w:lvl>
    <w:lvl w:ilvl="1">
      <w:start w:val="1"/>
      <w:numFmt w:val="decimal"/>
      <w:lvlText w:val="%1.%2."/>
      <w:lvlJc w:val="left"/>
      <w:pPr>
        <w:ind w:left="765" w:hanging="40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360"/>
      </w:pPr>
      <w:rPr/>
    </w:lvl>
    <w:lvl w:ilvl="1">
      <w:start w:val="1"/>
      <w:numFmt w:val="decimal"/>
      <w:lvlText w:val="%1.%2."/>
      <w:lvlJc w:val="left"/>
      <w:pPr>
        <w:ind w:left="765" w:hanging="40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720" w:hanging="360"/>
    </w:pPr>
    <w:rPr>
      <w:rFonts w:ascii="Calibri" w:cs="Calibri" w:eastAsia="Calibri" w:hAnsi="Calibri"/>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pPr>
      <w:spacing w:after="160" w:line="259" w:lineRule="auto"/>
    </w:pPr>
    <w:rPr>
      <w:rFonts w:ascii="Calibri" w:cs="Times New Roman" w:eastAsia="Calibri" w:hAnsi="Calibri"/>
      <w:sz w:val="22"/>
      <w:szCs w:val="22"/>
      <w:lang w:bidi="ar-SA" w:eastAsia="en-US" w:val="pt-BR"/>
    </w:rPr>
  </w:style>
  <w:style w:type="paragraph" w:styleId="2">
    <w:name w:val="heading 1"/>
    <w:basedOn w:val="1"/>
    <w:next w:val="1"/>
    <w:link w:val="47"/>
    <w:uiPriority w:val="9"/>
    <w:qFormat w:val="1"/>
    <w:pPr>
      <w:keepNext w:val="1"/>
      <w:keepLines w:val="1"/>
      <w:numPr>
        <w:ilvl w:val="0"/>
        <w:numId w:val="1"/>
      </w:numPr>
      <w:spacing w:after="0"/>
      <w:outlineLvl w:val="0"/>
    </w:pPr>
    <w:rPr>
      <w:rFonts w:asciiTheme="majorHAnsi" w:cstheme="majorBidi" w:eastAsiaTheme="majorEastAsia" w:hAnsiTheme="majorHAnsi"/>
      <w:b w:val="1"/>
      <w:sz w:val="24"/>
      <w:szCs w:val="32"/>
    </w:rPr>
  </w:style>
  <w:style w:type="paragraph" w:styleId="3">
    <w:name w:val="heading 2"/>
    <w:basedOn w:val="1"/>
    <w:next w:val="1"/>
    <w:link w:val="46"/>
    <w:uiPriority w:val="9"/>
    <w:unhideWhenUsed w:val="1"/>
    <w:qFormat w:val="1"/>
    <w:pPr>
      <w:keepNext w:val="1"/>
      <w:keepLines w:val="1"/>
      <w:spacing w:after="0" w:before="40"/>
      <w:outlineLvl w:val="1"/>
    </w:pPr>
    <w:rPr>
      <w:rFonts w:asciiTheme="majorHAnsi" w:cstheme="majorBidi" w:eastAsiaTheme="majorEastAsia" w:hAnsiTheme="majorHAnsi"/>
      <w:b w:val="1"/>
      <w:sz w:val="24"/>
      <w:szCs w:val="26"/>
    </w:rPr>
  </w:style>
  <w:style w:type="character" w:styleId="4" w:default="1">
    <w:name w:val="Default Paragraph Font"/>
    <w:uiPriority w:val="1"/>
    <w:semiHidden w:val="1"/>
    <w:unhideWhenUsed w:val="1"/>
    <w:qFormat w:val="1"/>
  </w:style>
  <w:style w:type="table" w:styleId="5" w:default="1">
    <w:name w:val="Normal Table"/>
    <w:uiPriority w:val="99"/>
    <w:semiHidden w:val="1"/>
    <w:unhideWhenUsed w:val="1"/>
    <w:qFormat w:val="1"/>
    <w:tblPr>
      <w:tblCellMar>
        <w:top w:w="0.0" w:type="dxa"/>
        <w:left w:w="108.0" w:type="dxa"/>
        <w:bottom w:w="0.0" w:type="dxa"/>
        <w:right w:w="108.0" w:type="dxa"/>
      </w:tblCellMar>
    </w:tblPr>
  </w:style>
  <w:style w:type="character" w:styleId="6">
    <w:name w:val="Strong"/>
    <w:uiPriority w:val="22"/>
    <w:qFormat w:val="1"/>
    <w:rPr>
      <w:b w:val="1"/>
      <w:bCs w:val="1"/>
    </w:rPr>
  </w:style>
  <w:style w:type="character" w:styleId="7">
    <w:name w:val="annotation reference"/>
    <w:basedOn w:val="4"/>
    <w:uiPriority w:val="99"/>
    <w:semiHidden w:val="1"/>
    <w:unhideWhenUsed w:val="1"/>
    <w:qFormat w:val="1"/>
    <w:rPr>
      <w:sz w:val="16"/>
      <w:szCs w:val="16"/>
    </w:rPr>
  </w:style>
  <w:style w:type="character" w:styleId="8">
    <w:name w:val="FollowedHyperlink"/>
    <w:basedOn w:val="4"/>
    <w:uiPriority w:val="99"/>
    <w:semiHidden w:val="1"/>
    <w:unhideWhenUsed w:val="1"/>
    <w:qFormat w:val="1"/>
    <w:rPr>
      <w:color w:val="954f72" w:themeColor="followedHyperlink"/>
      <w:u w:val="single"/>
      <w14:textFill>
        <w14:solidFill>
          <w14:schemeClr w14:val="folHlink"/>
        </w14:solidFill>
      </w14:textFill>
    </w:rPr>
  </w:style>
  <w:style w:type="character" w:styleId="9">
    <w:name w:val="Emphasis"/>
    <w:uiPriority w:val="20"/>
    <w:qFormat w:val="1"/>
    <w:rPr>
      <w:i w:val="1"/>
      <w:iCs w:val="1"/>
    </w:rPr>
  </w:style>
  <w:style w:type="character" w:styleId="10">
    <w:name w:val="footnote reference"/>
    <w:basedOn w:val="4"/>
    <w:uiPriority w:val="99"/>
    <w:semiHidden w:val="1"/>
    <w:unhideWhenUsed w:val="1"/>
    <w:qFormat w:val="1"/>
    <w:rPr>
      <w:vertAlign w:val="superscript"/>
    </w:rPr>
  </w:style>
  <w:style w:type="character" w:styleId="11">
    <w:name w:val="Hyperlink"/>
    <w:uiPriority w:val="99"/>
    <w:qFormat w:val="1"/>
    <w:rPr>
      <w:color w:val="000080"/>
      <w:u w:val="single"/>
    </w:rPr>
  </w:style>
  <w:style w:type="paragraph" w:styleId="12">
    <w:name w:val="toc 2"/>
    <w:basedOn w:val="1"/>
    <w:next w:val="1"/>
    <w:uiPriority w:val="39"/>
    <w:unhideWhenUsed w:val="1"/>
    <w:pPr>
      <w:tabs>
        <w:tab w:val="left" w:pos="709"/>
        <w:tab w:val="right" w:leader="dot" w:pos="9060"/>
      </w:tabs>
      <w:spacing w:after="100"/>
      <w:ind w:left="220"/>
    </w:pPr>
    <w:rPr>
      <w:rFonts w:cstheme="majorHAnsi"/>
    </w:rPr>
  </w:style>
  <w:style w:type="paragraph" w:styleId="13">
    <w:name w:val="Body Text"/>
    <w:basedOn w:val="1"/>
    <w:uiPriority w:val="99"/>
    <w:unhideWhenUsed w:val="1"/>
    <w:qFormat w:val="1"/>
    <w:pPr>
      <w:spacing w:after="100" w:afterAutospacing="1" w:before="100" w:beforeAutospacing="1"/>
    </w:pPr>
    <w:rPr>
      <w:rFonts w:ascii="Times New Roman" w:cs="Times New Roman" w:eastAsia="Times New Roman" w:hAnsi="Times New Roman"/>
    </w:rPr>
  </w:style>
  <w:style w:type="paragraph" w:styleId="14">
    <w:name w:val="annotation text"/>
    <w:basedOn w:val="1"/>
    <w:link w:val="40"/>
    <w:uiPriority w:val="99"/>
    <w:semiHidden w:val="1"/>
    <w:unhideWhenUsed w:val="1"/>
    <w:qFormat w:val="1"/>
    <w:pPr>
      <w:spacing w:line="240" w:lineRule="auto"/>
    </w:pPr>
    <w:rPr>
      <w:sz w:val="20"/>
      <w:szCs w:val="20"/>
    </w:rPr>
  </w:style>
  <w:style w:type="paragraph" w:styleId="15">
    <w:name w:val="Normal (Web)"/>
    <w:basedOn w:val="1"/>
    <w:uiPriority w:val="99"/>
    <w:qFormat w:val="1"/>
    <w:pPr>
      <w:suppressAutoHyphens w:val="1"/>
      <w:spacing w:after="280" w:before="280" w:line="240" w:lineRule="auto"/>
    </w:pPr>
    <w:rPr>
      <w:rFonts w:ascii="Times New Roman" w:eastAsia="Times New Roman" w:hAnsi="Times New Roman"/>
      <w:sz w:val="24"/>
      <w:szCs w:val="24"/>
      <w:lang w:eastAsia="zh-CN"/>
    </w:rPr>
  </w:style>
  <w:style w:type="paragraph" w:styleId="16">
    <w:name w:val="header"/>
    <w:basedOn w:val="1"/>
    <w:link w:val="38"/>
    <w:uiPriority w:val="99"/>
    <w:unhideWhenUsed w:val="1"/>
    <w:qFormat w:val="1"/>
    <w:pPr>
      <w:tabs>
        <w:tab w:val="center" w:pos="4252"/>
        <w:tab w:val="right" w:pos="8504"/>
      </w:tabs>
      <w:spacing w:after="0" w:line="240" w:lineRule="auto"/>
    </w:pPr>
  </w:style>
  <w:style w:type="paragraph" w:styleId="17">
    <w:name w:val="annotation subject"/>
    <w:basedOn w:val="14"/>
    <w:next w:val="14"/>
    <w:link w:val="41"/>
    <w:uiPriority w:val="99"/>
    <w:semiHidden w:val="1"/>
    <w:unhideWhenUsed w:val="1"/>
    <w:qFormat w:val="1"/>
    <w:rPr>
      <w:b w:val="1"/>
      <w:bCs w:val="1"/>
    </w:rPr>
  </w:style>
  <w:style w:type="paragraph" w:styleId="18">
    <w:name w:val="footer"/>
    <w:basedOn w:val="1"/>
    <w:link w:val="39"/>
    <w:uiPriority w:val="99"/>
    <w:unhideWhenUsed w:val="1"/>
    <w:qFormat w:val="1"/>
    <w:pPr>
      <w:tabs>
        <w:tab w:val="center" w:pos="4252"/>
        <w:tab w:val="right" w:pos="8504"/>
      </w:tabs>
      <w:spacing w:after="0" w:line="240" w:lineRule="auto"/>
    </w:pPr>
  </w:style>
  <w:style w:type="paragraph" w:styleId="19">
    <w:name w:val="toc 3"/>
    <w:basedOn w:val="1"/>
    <w:next w:val="1"/>
    <w:uiPriority w:val="39"/>
    <w:unhideWhenUsed w:val="1"/>
    <w:pPr>
      <w:spacing w:after="100"/>
      <w:ind w:left="440"/>
    </w:pPr>
  </w:style>
  <w:style w:type="paragraph" w:styleId="20">
    <w:name w:val="Balloon Text"/>
    <w:basedOn w:val="1"/>
    <w:link w:val="42"/>
    <w:uiPriority w:val="99"/>
    <w:semiHidden w:val="1"/>
    <w:unhideWhenUsed w:val="1"/>
    <w:qFormat w:val="1"/>
    <w:pPr>
      <w:spacing w:after="0" w:line="240" w:lineRule="auto"/>
    </w:pPr>
    <w:rPr>
      <w:rFonts w:ascii="Segoe UI" w:cs="Segoe UI" w:hAnsi="Segoe UI"/>
      <w:sz w:val="18"/>
      <w:szCs w:val="18"/>
    </w:rPr>
  </w:style>
  <w:style w:type="paragraph" w:styleId="21">
    <w:name w:val="Subtitle"/>
    <w:basedOn w:val="1"/>
    <w:next w:val="1"/>
    <w:link w:val="49"/>
    <w:uiPriority w:val="11"/>
    <w:qFormat w:val="1"/>
    <w:pPr>
      <w:spacing w:after="0"/>
    </w:pPr>
    <w:rPr>
      <w:rFonts w:asciiTheme="majorHAnsi" w:cstheme="minorBidi" w:eastAsiaTheme="minorEastAsia" w:hAnsiTheme="majorHAnsi"/>
      <w:spacing w:val="15"/>
      <w:sz w:val="24"/>
    </w:rPr>
  </w:style>
  <w:style w:type="paragraph" w:styleId="22">
    <w:name w:val="footnote text"/>
    <w:basedOn w:val="1"/>
    <w:link w:val="50"/>
    <w:uiPriority w:val="99"/>
    <w:semiHidden w:val="1"/>
    <w:unhideWhenUsed w:val="1"/>
    <w:qFormat w:val="1"/>
    <w:pPr>
      <w:spacing w:after="0" w:line="240" w:lineRule="auto"/>
    </w:pPr>
    <w:rPr>
      <w:sz w:val="20"/>
      <w:szCs w:val="20"/>
    </w:rPr>
  </w:style>
  <w:style w:type="paragraph" w:styleId="23">
    <w:name w:val="toc 1"/>
    <w:basedOn w:val="1"/>
    <w:next w:val="1"/>
    <w:uiPriority w:val="39"/>
    <w:unhideWhenUsed w:val="1"/>
    <w:pPr>
      <w:tabs>
        <w:tab w:val="right" w:leader="dot" w:pos="9060"/>
      </w:tabs>
      <w:spacing w:after="100"/>
    </w:pPr>
    <w:rPr>
      <w:rFonts w:asciiTheme="majorHAnsi" w:cstheme="majorHAnsi" w:hAnsiTheme="majorHAnsi"/>
      <w:b w:val="1"/>
      <w:bCs w:val="1"/>
      <w:sz w:val="24"/>
      <w:szCs w:val="24"/>
    </w:rPr>
  </w:style>
  <w:style w:type="table" w:styleId="24">
    <w:name w:val="Table Grid"/>
    <w:basedOn w:val="5"/>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5">
    <w:name w:val="List Paragraph"/>
    <w:basedOn w:val="1"/>
    <w:uiPriority w:val="34"/>
    <w:qFormat w:val="1"/>
    <w:pPr>
      <w:ind w:left="720"/>
      <w:contextualSpacing w:val="1"/>
    </w:pPr>
  </w:style>
  <w:style w:type="paragraph" w:styleId="26" w:customStyle="1">
    <w:name w:val="numerado"/>
    <w:basedOn w:val="1"/>
    <w:uiPriority w:val="0"/>
    <w:qFormat w:val="1"/>
    <w:pPr>
      <w:spacing w:after="100" w:afterAutospacing="1" w:before="100" w:beforeAutospacing="1" w:line="240" w:lineRule="auto"/>
    </w:pPr>
    <w:rPr>
      <w:rFonts w:ascii="Times New Roman" w:eastAsia="Times New Roman" w:hAnsi="Times New Roman"/>
      <w:sz w:val="24"/>
      <w:szCs w:val="24"/>
      <w:lang w:eastAsia="pt-BR"/>
    </w:rPr>
  </w:style>
  <w:style w:type="character" w:styleId="27" w:customStyle="1">
    <w:name w:val="scayt-misspell-word"/>
    <w:uiPriority w:val="0"/>
    <w:qFormat w:val="1"/>
  </w:style>
  <w:style w:type="character" w:styleId="28" w:customStyle="1">
    <w:name w:val="Manoel"/>
    <w:uiPriority w:val="0"/>
    <w:qFormat w:val="1"/>
    <w:rPr>
      <w:rFonts w:ascii="Arial" w:cs="Arial" w:hAnsi="Arial"/>
      <w:color w:val="7030a0"/>
      <w:sz w:val="20"/>
    </w:rPr>
  </w:style>
  <w:style w:type="paragraph" w:styleId="29" w:customStyle="1">
    <w:name w:val="Nivel 2"/>
    <w:uiPriority w:val="0"/>
    <w:qFormat w:val="1"/>
    <w:pPr>
      <w:numPr>
        <w:ilvl w:val="1"/>
        <w:numId w:val="2"/>
      </w:numPr>
      <w:spacing w:after="120" w:before="120" w:line="276" w:lineRule="auto"/>
      <w:jc w:val="both"/>
    </w:pPr>
    <w:rPr>
      <w:rFonts w:ascii="Ecofont_Spranq_eco_Sans" w:cs="Times New Roman" w:eastAsia="Arial Unicode MS" w:hAnsi="Ecofont_Spranq_eco_Sans"/>
      <w:lang w:bidi="ar-SA" w:eastAsia="pt-BR" w:val="pt-BR"/>
    </w:rPr>
  </w:style>
  <w:style w:type="paragraph" w:styleId="30" w:customStyle="1">
    <w:name w:val="Nivel 1"/>
    <w:basedOn w:val="29"/>
    <w:next w:val="29"/>
    <w:uiPriority w:val="0"/>
    <w:qFormat w:val="1"/>
    <w:pPr>
      <w:numPr>
        <w:ilvl w:val="0"/>
      </w:numPr>
    </w:pPr>
    <w:rPr>
      <w:rFonts w:cs="Arial"/>
      <w:b w:val="1"/>
    </w:rPr>
  </w:style>
  <w:style w:type="paragraph" w:styleId="31" w:customStyle="1">
    <w:name w:val="Nivel 3"/>
    <w:basedOn w:val="29"/>
    <w:uiPriority w:val="0"/>
    <w:qFormat w:val="1"/>
    <w:pPr>
      <w:numPr>
        <w:ilvl w:val="2"/>
      </w:numPr>
    </w:pPr>
    <w:rPr>
      <w:rFonts w:cs="Arial"/>
      <w:color w:val="000000"/>
    </w:rPr>
  </w:style>
  <w:style w:type="paragraph" w:styleId="32" w:customStyle="1">
    <w:name w:val="Nivel 4"/>
    <w:basedOn w:val="31"/>
    <w:link w:val="34"/>
    <w:uiPriority w:val="0"/>
    <w:qFormat w:val="1"/>
    <w:pPr>
      <w:numPr>
        <w:ilvl w:val="3"/>
      </w:numPr>
    </w:pPr>
    <w:rPr>
      <w:color w:val="auto"/>
    </w:rPr>
  </w:style>
  <w:style w:type="paragraph" w:styleId="33" w:customStyle="1">
    <w:name w:val="Nivel 5"/>
    <w:basedOn w:val="32"/>
    <w:uiPriority w:val="0"/>
    <w:qFormat w:val="1"/>
    <w:pPr>
      <w:numPr>
        <w:ilvl w:val="4"/>
      </w:numPr>
      <w:ind w:left="3600" w:hanging="360"/>
    </w:pPr>
  </w:style>
  <w:style w:type="character" w:styleId="34" w:customStyle="1">
    <w:name w:val="Nivel 4 Char"/>
    <w:basedOn w:val="4"/>
    <w:link w:val="32"/>
    <w:uiPriority w:val="0"/>
    <w:qFormat w:val="1"/>
    <w:rPr>
      <w:rFonts w:ascii="Ecofont_Spranq_eco_Sans" w:cs="Arial" w:eastAsia="Arial Unicode MS" w:hAnsi="Ecofont_Spranq_eco_Sans"/>
    </w:rPr>
  </w:style>
  <w:style w:type="paragraph" w:styleId="35" w:customStyle="1">
    <w:name w:val="citação LU"/>
    <w:basedOn w:val="1"/>
    <w:link w:val="36"/>
    <w:uiPriority w:val="0"/>
    <w:qFormat w:val="1"/>
    <w:pPr>
      <w:spacing w:after="240" w:line="240" w:lineRule="auto"/>
      <w:ind w:left="708"/>
      <w:jc w:val="both"/>
    </w:pPr>
    <w:rPr>
      <w:rFonts w:ascii="Times New Roman" w:hAnsi="Times New Roman"/>
      <w:color w:val="000000" w:themeColor="text1"/>
      <w:sz w:val="20"/>
      <w:szCs w:val="20"/>
      <w14:textFill>
        <w14:solidFill>
          <w14:schemeClr w14:val="tx1"/>
        </w14:solidFill>
      </w14:textFill>
    </w:rPr>
  </w:style>
  <w:style w:type="character" w:styleId="36" w:customStyle="1">
    <w:name w:val="citação LU Char"/>
    <w:basedOn w:val="4"/>
    <w:link w:val="35"/>
    <w:uiPriority w:val="0"/>
    <w:qFormat w:val="1"/>
    <w:rPr>
      <w:rFonts w:ascii="Times New Roman" w:hAnsi="Times New Roman"/>
      <w:color w:val="000000" w:themeColor="text1"/>
      <w:lang w:eastAsia="en-US"/>
      <w14:textFill>
        <w14:solidFill>
          <w14:schemeClr w14:val="tx1"/>
        </w14:solidFill>
      </w14:textFill>
    </w:rPr>
  </w:style>
  <w:style w:type="character" w:styleId="37" w:customStyle="1">
    <w:name w:val="markedcontent"/>
    <w:basedOn w:val="4"/>
    <w:uiPriority w:val="0"/>
    <w:qFormat w:val="1"/>
  </w:style>
  <w:style w:type="character" w:styleId="38" w:customStyle="1">
    <w:name w:val="Cabeçalho Char"/>
    <w:basedOn w:val="4"/>
    <w:link w:val="16"/>
    <w:uiPriority w:val="99"/>
    <w:qFormat w:val="1"/>
    <w:rPr>
      <w:sz w:val="22"/>
      <w:szCs w:val="22"/>
      <w:lang w:eastAsia="en-US"/>
    </w:rPr>
  </w:style>
  <w:style w:type="character" w:styleId="39" w:customStyle="1">
    <w:name w:val="Rodapé Char"/>
    <w:basedOn w:val="4"/>
    <w:link w:val="18"/>
    <w:uiPriority w:val="99"/>
    <w:qFormat w:val="1"/>
    <w:rPr>
      <w:sz w:val="22"/>
      <w:szCs w:val="22"/>
      <w:lang w:eastAsia="en-US"/>
    </w:rPr>
  </w:style>
  <w:style w:type="character" w:styleId="40" w:customStyle="1">
    <w:name w:val="Texto de comentário Char"/>
    <w:basedOn w:val="4"/>
    <w:link w:val="14"/>
    <w:uiPriority w:val="99"/>
    <w:semiHidden w:val="1"/>
    <w:qFormat w:val="1"/>
    <w:rPr>
      <w:lang w:eastAsia="en-US"/>
    </w:rPr>
  </w:style>
  <w:style w:type="character" w:styleId="41" w:customStyle="1">
    <w:name w:val="Assunto do comentário Char"/>
    <w:basedOn w:val="40"/>
    <w:link w:val="17"/>
    <w:uiPriority w:val="99"/>
    <w:semiHidden w:val="1"/>
    <w:qFormat w:val="1"/>
    <w:rPr>
      <w:b w:val="1"/>
      <w:bCs w:val="1"/>
      <w:lang w:eastAsia="en-US"/>
    </w:rPr>
  </w:style>
  <w:style w:type="character" w:styleId="42" w:customStyle="1">
    <w:name w:val="Texto de balão Char"/>
    <w:basedOn w:val="4"/>
    <w:link w:val="20"/>
    <w:uiPriority w:val="99"/>
    <w:semiHidden w:val="1"/>
    <w:qFormat w:val="1"/>
    <w:rPr>
      <w:rFonts w:ascii="Segoe UI" w:cs="Segoe UI" w:hAnsi="Segoe UI"/>
      <w:sz w:val="18"/>
      <w:szCs w:val="18"/>
      <w:lang w:eastAsia="en-US"/>
    </w:rPr>
  </w:style>
  <w:style w:type="paragraph" w:styleId="43" w:customStyle="1">
    <w:name w:val="Tópico"/>
    <w:basedOn w:val="1"/>
    <w:link w:val="45"/>
    <w:uiPriority w:val="0"/>
    <w:qFormat w:val="1"/>
    <w:pPr>
      <w:shd w:color="auto" w:fill="d8d8d8" w:themeFill="background1" w:themeFillShade="0000D9" w:val="clear"/>
      <w:spacing w:after="0" w:line="240" w:lineRule="auto"/>
      <w:jc w:val="both"/>
    </w:pPr>
    <w:rPr>
      <w:rFonts w:asciiTheme="majorHAnsi" w:cstheme="majorHAnsi" w:hAnsiTheme="majorHAnsi"/>
      <w:b w:val="1"/>
      <w:bCs w:val="1"/>
      <w:sz w:val="24"/>
      <w:szCs w:val="24"/>
    </w:rPr>
  </w:style>
  <w:style w:type="paragraph" w:styleId="44" w:customStyle="1">
    <w:name w:val="Estilo1"/>
    <w:basedOn w:val="2"/>
    <w:link w:val="48"/>
    <w:uiPriority w:val="0"/>
    <w:qFormat w:val="1"/>
  </w:style>
  <w:style w:type="character" w:styleId="45" w:customStyle="1">
    <w:name w:val="Tópico Char"/>
    <w:basedOn w:val="4"/>
    <w:link w:val="43"/>
    <w:uiPriority w:val="0"/>
    <w:qFormat w:val="1"/>
    <w:rPr>
      <w:rFonts w:asciiTheme="majorHAnsi" w:cstheme="majorHAnsi" w:hAnsiTheme="majorHAnsi"/>
      <w:b w:val="1"/>
      <w:bCs w:val="1"/>
      <w:sz w:val="24"/>
      <w:szCs w:val="24"/>
      <w:shd w:color="auto" w:fill="d8d8d8" w:themeFill="background1" w:themeFillShade="0000D9" w:val="clear"/>
      <w:lang w:eastAsia="en-US"/>
    </w:rPr>
  </w:style>
  <w:style w:type="character" w:styleId="46" w:customStyle="1">
    <w:name w:val="Título 2 Char"/>
    <w:basedOn w:val="4"/>
    <w:link w:val="3"/>
    <w:uiPriority w:val="9"/>
    <w:qFormat w:val="1"/>
    <w:rPr>
      <w:rFonts w:asciiTheme="majorHAnsi" w:cstheme="majorBidi" w:eastAsiaTheme="majorEastAsia" w:hAnsiTheme="majorHAnsi"/>
      <w:b w:val="1"/>
      <w:sz w:val="24"/>
      <w:szCs w:val="26"/>
      <w:lang w:eastAsia="en-US"/>
    </w:rPr>
  </w:style>
  <w:style w:type="character" w:styleId="47" w:customStyle="1">
    <w:name w:val="Título 1 Char"/>
    <w:basedOn w:val="4"/>
    <w:link w:val="2"/>
    <w:uiPriority w:val="9"/>
    <w:qFormat w:val="1"/>
    <w:rPr>
      <w:rFonts w:asciiTheme="majorHAnsi" w:cstheme="majorBidi" w:eastAsiaTheme="majorEastAsia" w:hAnsiTheme="majorHAnsi"/>
      <w:b w:val="1"/>
      <w:sz w:val="24"/>
      <w:szCs w:val="32"/>
      <w:lang w:eastAsia="en-US"/>
    </w:rPr>
  </w:style>
  <w:style w:type="character" w:styleId="48" w:customStyle="1">
    <w:name w:val="Estilo1 Char"/>
    <w:basedOn w:val="47"/>
    <w:link w:val="44"/>
    <w:uiPriority w:val="0"/>
    <w:qFormat w:val="1"/>
    <w:rPr>
      <w:rFonts w:asciiTheme="majorHAnsi" w:cstheme="majorBidi" w:eastAsiaTheme="majorEastAsia" w:hAnsiTheme="majorHAnsi"/>
      <w:sz w:val="24"/>
      <w:szCs w:val="32"/>
      <w:lang w:eastAsia="en-US"/>
    </w:rPr>
  </w:style>
  <w:style w:type="character" w:styleId="49" w:customStyle="1">
    <w:name w:val="Subtítulo Char"/>
    <w:basedOn w:val="4"/>
    <w:link w:val="21"/>
    <w:uiPriority w:val="11"/>
    <w:qFormat w:val="1"/>
    <w:rPr>
      <w:rFonts w:asciiTheme="majorHAnsi" w:cstheme="minorBidi" w:eastAsiaTheme="minorEastAsia" w:hAnsiTheme="majorHAnsi"/>
      <w:spacing w:val="15"/>
      <w:sz w:val="24"/>
      <w:szCs w:val="22"/>
      <w:lang w:eastAsia="en-US"/>
    </w:rPr>
  </w:style>
  <w:style w:type="character" w:styleId="50" w:customStyle="1">
    <w:name w:val="Texto de nota de rodapé Char"/>
    <w:basedOn w:val="4"/>
    <w:link w:val="22"/>
    <w:uiPriority w:val="99"/>
    <w:semiHidden w:val="1"/>
    <w:qFormat w:val="1"/>
    <w:rPr>
      <w:lang w:eastAsia="en-US"/>
    </w:rPr>
  </w:style>
  <w:style w:type="paragraph" w:styleId="51">
    <w:name w:val="No Spacing"/>
    <w:uiPriority w:val="1"/>
    <w:qFormat w:val="1"/>
    <w:rPr>
      <w:rFonts w:ascii="Calibri" w:cs="Times New Roman" w:eastAsia="Calibri" w:hAnsi="Calibri"/>
      <w:sz w:val="22"/>
      <w:szCs w:val="22"/>
      <w:lang w:bidi="ar-SA" w:eastAsia="en-US" w:val="pt-BR"/>
    </w:rPr>
  </w:style>
  <w:style w:type="paragraph" w:styleId="52" w:customStyle="1">
    <w:name w:val="Revision"/>
    <w:hidden w:val="1"/>
    <w:uiPriority w:val="99"/>
    <w:semiHidden w:val="1"/>
    <w:qFormat w:val="1"/>
    <w:rPr>
      <w:rFonts w:ascii="Calibri" w:cs="Times New Roman" w:eastAsia="Calibri" w:hAnsi="Calibri"/>
      <w:sz w:val="22"/>
      <w:szCs w:val="22"/>
      <w:lang w:bidi="ar-SA" w:eastAsia="en-US" w:val="pt-BR"/>
    </w:rPr>
  </w:style>
  <w:style w:type="paragraph" w:styleId="53" w:customStyle="1">
    <w:name w:val="Parágrafo_Parecer"/>
    <w:basedOn w:val="25"/>
    <w:uiPriority w:val="0"/>
    <w:qFormat w:val="1"/>
    <w:pPr>
      <w:numPr>
        <w:ilvl w:val="0"/>
        <w:numId w:val="3"/>
      </w:numPr>
      <w:tabs>
        <w:tab w:val="left" w:pos="1418"/>
      </w:tabs>
      <w:suppressAutoHyphens w:val="1"/>
      <w:spacing w:after="120" w:before="120" w:line="240" w:lineRule="auto"/>
      <w:ind w:left="0" w:firstLine="0"/>
      <w:contextualSpacing w:val="0"/>
      <w:jc w:val="both"/>
    </w:pPr>
    <w:rPr>
      <w:rFonts w:ascii="Arial" w:eastAsia="Times New Roman" w:hAnsi="Arial"/>
      <w:sz w:val="20"/>
      <w:szCs w:val="20"/>
      <w:lang w:eastAsia="ar-SA"/>
    </w:rPr>
  </w:style>
  <w:style w:type="paragraph" w:styleId="54">
    <w:name w:val="Quote"/>
    <w:basedOn w:val="53"/>
    <w:next w:val="1"/>
    <w:link w:val="55"/>
    <w:uiPriority w:val="29"/>
    <w:qFormat w:val="1"/>
    <w:pPr>
      <w:numPr>
        <w:ilvl w:val="0"/>
        <w:numId w:val="0"/>
      </w:numPr>
      <w:spacing w:after="0" w:before="0"/>
      <w:ind w:left="1701" w:firstLine="425"/>
    </w:pPr>
    <w:rPr>
      <w:sz w:val="18"/>
    </w:rPr>
  </w:style>
  <w:style w:type="character" w:styleId="55" w:customStyle="1">
    <w:name w:val="Citação Char"/>
    <w:basedOn w:val="4"/>
    <w:link w:val="54"/>
    <w:uiPriority w:val="29"/>
    <w:qFormat w:val="1"/>
    <w:rPr>
      <w:rFonts w:ascii="Arial" w:eastAsia="Times New Roman" w:hAnsi="Arial"/>
      <w:sz w:val="18"/>
      <w:lang w:eastAsia="ar-SA"/>
    </w:rPr>
  </w:style>
  <w:style w:type="paragraph" w:styleId="56" w:customStyle="1">
    <w:name w:val="ApTit"/>
    <w:basedOn w:val="2"/>
    <w:next w:val="57"/>
    <w:link w:val="58"/>
    <w:uiPriority w:val="0"/>
    <w:qFormat w:val="1"/>
    <w:pPr>
      <w:numPr>
        <w:ilvl w:val="0"/>
        <w:numId w:val="4"/>
      </w:numPr>
      <w:spacing w:after="120" w:before="360" w:line="276" w:lineRule="auto"/>
      <w:jc w:val="both"/>
      <w:outlineLvl w:val="1"/>
    </w:pPr>
    <w:rPr>
      <w:rFonts w:ascii="Arial" w:hAnsi="Arial"/>
      <w:color w:val="000000"/>
    </w:rPr>
  </w:style>
  <w:style w:type="paragraph" w:styleId="57" w:customStyle="1">
    <w:name w:val="Texto AGU"/>
    <w:basedOn w:val="53"/>
    <w:link w:val="59"/>
    <w:uiPriority w:val="0"/>
    <w:pPr>
      <w:ind w:left="7590" w:hanging="360"/>
    </w:pPr>
  </w:style>
  <w:style w:type="character" w:styleId="58" w:customStyle="1">
    <w:name w:val="ApTit Char"/>
    <w:basedOn w:val="47"/>
    <w:link w:val="56"/>
    <w:uiPriority w:val="0"/>
    <w:rPr>
      <w:rFonts w:ascii="Arial" w:hAnsi="Arial" w:cstheme="majorBidi" w:eastAsiaTheme="majorEastAsia"/>
      <w:color w:val="000000"/>
      <w:sz w:val="24"/>
      <w:szCs w:val="32"/>
      <w:lang w:eastAsia="en-US"/>
    </w:rPr>
  </w:style>
  <w:style w:type="character" w:styleId="59" w:customStyle="1">
    <w:name w:val="Texto AGU Char"/>
    <w:basedOn w:val="4"/>
    <w:link w:val="57"/>
    <w:uiPriority w:val="0"/>
    <w:rPr>
      <w:rFonts w:ascii="Arial" w:eastAsia="Times New Roman" w:hAnsi="Arial"/>
      <w:lang w:eastAsia="ar-SA"/>
    </w:rPr>
  </w:style>
  <w:style w:type="paragraph" w:styleId="60" w:customStyle="1">
    <w:name w:val="TJTRSubTT"/>
    <w:basedOn w:val="2"/>
    <w:link w:val="62"/>
    <w:uiPriority w:val="0"/>
    <w:qFormat w:val="1"/>
    <w:pPr>
      <w:shd w:color="auto" w:fill="f1f1f1" w:themeFill="background1" w:themeFillShade="0000F2" w:val="clear"/>
      <w:spacing w:after="120" w:before="360" w:line="276" w:lineRule="auto"/>
      <w:outlineLvl w:val="1"/>
    </w:pPr>
    <w:rPr>
      <w:caps w:val="1"/>
    </w:rPr>
  </w:style>
  <w:style w:type="paragraph" w:styleId="61" w:customStyle="1">
    <w:name w:val="TJTR-Título"/>
    <w:basedOn w:val="1"/>
    <w:link w:val="63"/>
    <w:uiPriority w:val="0"/>
    <w:qFormat w:val="1"/>
    <w:pPr>
      <w:shd w:color="auto" w:fill="d8d8d8" w:themeFill="background1" w:themeFillShade="0000D9" w:val="clear"/>
      <w:spacing w:after="360" w:before="360" w:line="240" w:lineRule="auto"/>
      <w:ind w:left="-1701" w:right="-1701"/>
      <w:jc w:val="center"/>
      <w:outlineLvl w:val="0"/>
    </w:pPr>
    <w:rPr>
      <w:rFonts w:asciiTheme="majorHAnsi" w:cstheme="majorHAnsi" w:hAnsiTheme="majorHAnsi"/>
      <w:b w:val="1"/>
      <w:bCs w:val="1"/>
      <w:sz w:val="44"/>
      <w:szCs w:val="44"/>
    </w:rPr>
  </w:style>
  <w:style w:type="character" w:styleId="62" w:customStyle="1">
    <w:name w:val="TJTRSubTT Char"/>
    <w:basedOn w:val="47"/>
    <w:link w:val="60"/>
    <w:uiPriority w:val="0"/>
    <w:rPr>
      <w:rFonts w:asciiTheme="majorHAnsi" w:cstheme="majorBidi" w:eastAsiaTheme="majorEastAsia" w:hAnsiTheme="majorHAnsi"/>
      <w:caps w:val="1"/>
      <w:sz w:val="24"/>
      <w:szCs w:val="32"/>
      <w:shd w:color="auto" w:fill="f1f1f1" w:themeFill="background1" w:themeFillShade="0000F2" w:val="clear"/>
      <w:lang w:eastAsia="en-US"/>
    </w:rPr>
  </w:style>
  <w:style w:type="character" w:styleId="63" w:customStyle="1">
    <w:name w:val="TJTR-Título Char"/>
    <w:basedOn w:val="4"/>
    <w:link w:val="61"/>
    <w:uiPriority w:val="0"/>
    <w:rPr>
      <w:rFonts w:asciiTheme="majorHAnsi" w:cstheme="majorHAnsi" w:hAnsiTheme="majorHAnsi"/>
      <w:b w:val="1"/>
      <w:bCs w:val="1"/>
      <w:sz w:val="44"/>
      <w:szCs w:val="44"/>
      <w:shd w:color="auto" w:fill="d8d8d8" w:themeFill="background1" w:themeFillShade="0000D9" w:val="clear"/>
      <w:lang w:eastAsia="en-US"/>
    </w:rPr>
  </w:style>
  <w:style w:type="paragraph" w:styleId="64" w:customStyle="1">
    <w:name w:val="Normal-TJTR"/>
    <w:basedOn w:val="1"/>
    <w:link w:val="66"/>
    <w:uiPriority w:val="0"/>
    <w:qFormat w:val="1"/>
    <w:pPr>
      <w:jc w:val="both"/>
    </w:pPr>
  </w:style>
  <w:style w:type="paragraph" w:styleId="65" w:customStyle="1">
    <w:name w:val="TJTRSubTT-Nv2"/>
    <w:basedOn w:val="21"/>
    <w:link w:val="68"/>
    <w:uiPriority w:val="0"/>
    <w:qFormat w:val="1"/>
    <w:pPr>
      <w:spacing w:after="120" w:before="120" w:line="276" w:lineRule="auto"/>
      <w:outlineLvl w:val="2"/>
    </w:pPr>
    <w:rPr>
      <w:rFonts w:cstheme="majorHAnsi"/>
      <w:b w:val="1"/>
      <w:bCs w:val="1"/>
    </w:rPr>
  </w:style>
  <w:style w:type="character" w:styleId="66" w:customStyle="1">
    <w:name w:val="Normal-TJTR Char"/>
    <w:basedOn w:val="4"/>
    <w:link w:val="64"/>
    <w:uiPriority w:val="0"/>
    <w:rPr>
      <w:sz w:val="22"/>
      <w:szCs w:val="22"/>
      <w:lang w:eastAsia="en-US"/>
    </w:rPr>
  </w:style>
  <w:style w:type="paragraph" w:styleId="67" w:customStyle="1">
    <w:name w:val="ApTexto"/>
    <w:basedOn w:val="1"/>
    <w:link w:val="70"/>
    <w:uiPriority w:val="0"/>
    <w:qFormat w:val="1"/>
    <w:pPr>
      <w:spacing w:after="120" w:before="120" w:line="240" w:lineRule="auto"/>
      <w:ind w:firstLine="1134"/>
      <w:jc w:val="both"/>
    </w:pPr>
    <w:rPr>
      <w:rFonts w:asciiTheme="majorHAnsi" w:cstheme="majorHAnsi" w:hAnsiTheme="majorHAnsi"/>
      <w:sz w:val="24"/>
      <w:szCs w:val="24"/>
    </w:rPr>
  </w:style>
  <w:style w:type="character" w:styleId="68" w:customStyle="1">
    <w:name w:val="TJTRSubTT-Nv2 Char"/>
    <w:basedOn w:val="49"/>
    <w:link w:val="65"/>
    <w:uiPriority w:val="0"/>
    <w:rPr>
      <w:rFonts w:asciiTheme="majorHAnsi" w:cstheme="majorHAnsi" w:eastAsiaTheme="minorEastAsia" w:hAnsiTheme="majorHAnsi"/>
      <w:b w:val="1"/>
      <w:bCs w:val="1"/>
      <w:spacing w:val="15"/>
      <w:sz w:val="24"/>
      <w:szCs w:val="22"/>
      <w:lang w:eastAsia="en-US"/>
    </w:rPr>
  </w:style>
  <w:style w:type="paragraph" w:styleId="69" w:customStyle="1">
    <w:name w:val="ApCitação"/>
    <w:basedOn w:val="1"/>
    <w:link w:val="72"/>
    <w:uiPriority w:val="0"/>
    <w:qFormat w:val="1"/>
    <w:pPr>
      <w:spacing w:after="120" w:before="120" w:line="240" w:lineRule="auto"/>
      <w:ind w:left="2268" w:firstLine="709"/>
      <w:jc w:val="both"/>
    </w:pPr>
    <w:rPr>
      <w:rFonts w:asciiTheme="majorHAnsi" w:cstheme="majorHAnsi" w:hAnsiTheme="majorHAnsi"/>
      <w:sz w:val="20"/>
      <w:szCs w:val="24"/>
      <w:lang w:eastAsia="pt-BR"/>
    </w:rPr>
  </w:style>
  <w:style w:type="character" w:styleId="70" w:customStyle="1">
    <w:name w:val="ApTexto Char"/>
    <w:basedOn w:val="4"/>
    <w:link w:val="67"/>
    <w:uiPriority w:val="0"/>
    <w:rPr>
      <w:rFonts w:asciiTheme="majorHAnsi" w:cstheme="majorHAnsi" w:hAnsiTheme="majorHAnsi"/>
      <w:sz w:val="24"/>
      <w:szCs w:val="24"/>
      <w:lang w:eastAsia="en-US"/>
    </w:rPr>
  </w:style>
  <w:style w:type="paragraph" w:styleId="71" w:customStyle="1">
    <w:name w:val="ApSubtítulo"/>
    <w:basedOn w:val="1"/>
    <w:link w:val="74"/>
    <w:uiPriority w:val="0"/>
    <w:qFormat w:val="1"/>
    <w:pPr>
      <w:spacing w:after="120" w:before="240" w:line="240" w:lineRule="auto"/>
      <w:jc w:val="both"/>
    </w:pPr>
    <w:rPr>
      <w:rFonts w:asciiTheme="majorHAnsi" w:cstheme="majorHAnsi" w:hAnsiTheme="majorHAnsi"/>
      <w:b w:val="1"/>
      <w:bCs w:val="1"/>
      <w:sz w:val="24"/>
      <w:szCs w:val="24"/>
    </w:rPr>
  </w:style>
  <w:style w:type="character" w:styleId="72" w:customStyle="1">
    <w:name w:val="ApCitação Char"/>
    <w:basedOn w:val="4"/>
    <w:link w:val="69"/>
    <w:uiPriority w:val="0"/>
    <w:rPr>
      <w:rFonts w:asciiTheme="majorHAnsi" w:cstheme="majorHAnsi" w:hAnsiTheme="majorHAnsi"/>
      <w:szCs w:val="24"/>
    </w:rPr>
  </w:style>
  <w:style w:type="paragraph" w:styleId="73" w:customStyle="1">
    <w:name w:val="ApLista"/>
    <w:basedOn w:val="67"/>
    <w:link w:val="75"/>
    <w:uiPriority w:val="0"/>
    <w:qFormat w:val="1"/>
    <w:pPr>
      <w:numPr>
        <w:ilvl w:val="0"/>
        <w:numId w:val="5"/>
      </w:numPr>
      <w:ind w:left="1134" w:hanging="11"/>
    </w:pPr>
  </w:style>
  <w:style w:type="character" w:styleId="74" w:customStyle="1">
    <w:name w:val="ApSubtítulo Char"/>
    <w:basedOn w:val="4"/>
    <w:link w:val="71"/>
    <w:uiPriority w:val="0"/>
    <w:rPr>
      <w:rFonts w:asciiTheme="majorHAnsi" w:cstheme="majorHAnsi" w:hAnsiTheme="majorHAnsi"/>
      <w:b w:val="1"/>
      <w:bCs w:val="1"/>
      <w:sz w:val="24"/>
      <w:szCs w:val="24"/>
      <w:lang w:eastAsia="en-US"/>
    </w:rPr>
  </w:style>
  <w:style w:type="character" w:styleId="75" w:customStyle="1">
    <w:name w:val="ApLista Char"/>
    <w:basedOn w:val="70"/>
    <w:link w:val="73"/>
    <w:uiPriority w:val="0"/>
    <w:rPr>
      <w:rFonts w:asciiTheme="majorHAnsi" w:cstheme="majorHAnsi" w:hAnsiTheme="majorHAnsi"/>
      <w:sz w:val="24"/>
      <w:szCs w:val="24"/>
      <w:lang w:eastAsia="en-US"/>
    </w:rPr>
  </w:style>
  <w:style w:type="character" w:styleId="76" w:customStyle="1">
    <w:name w:val="Menção Pendente1"/>
    <w:basedOn w:val="4"/>
    <w:uiPriority w:val="99"/>
    <w:semiHidden w:val="1"/>
    <w:unhideWhenUsed w:val="1"/>
    <w:rPr>
      <w:color w:val="605e5c"/>
      <w:shd w:color="auto" w:fill="e1dfdd" w:val="clear"/>
    </w:rPr>
  </w:style>
  <w:style w:type="paragraph" w:styleId="77" w:customStyle="1">
    <w:name w:val="TOC Heading"/>
    <w:basedOn w:val="2"/>
    <w:next w:val="1"/>
    <w:uiPriority w:val="39"/>
    <w:unhideWhenUsed w:val="1"/>
    <w:qFormat w:val="1"/>
    <w:pPr>
      <w:numPr>
        <w:ilvl w:val="0"/>
        <w:numId w:val="0"/>
      </w:numPr>
      <w:spacing w:before="240"/>
      <w:outlineLvl w:val="9"/>
    </w:pPr>
    <w:rPr>
      <w:b w:val="0"/>
      <w:color w:val="2f5597" w:themeColor="accent1" w:themeShade="0000BF"/>
      <w:sz w:val="32"/>
      <w:lang w:eastAsia="pt-BR"/>
    </w:rPr>
  </w:style>
  <w:style w:type="character" w:styleId="78" w:customStyle="1">
    <w:name w:val="Unresolved Mention"/>
    <w:basedOn w:val="4"/>
    <w:uiPriority w:val="99"/>
    <w:semiHidden w:val="1"/>
    <w:unhideWhenUsed w:val="1"/>
    <w:rPr>
      <w:color w:val="605e5c"/>
      <w:shd w:color="auto" w:fill="e1dfdd" w:val="clear"/>
    </w:rPr>
  </w:style>
  <w:style w:type="paragraph" w:styleId="Subtitle">
    <w:name w:val="Subtitle"/>
    <w:basedOn w:val="Normal"/>
    <w:next w:val="Normal"/>
    <w:pPr>
      <w:spacing w:after="0" w:lineRule="auto"/>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xhRJx58jWdCnDQzkhkfLSm4rA==">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2023-08-17T13:10:00Z</dcterms:created>
  <dc:creator>Luciana Csipai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0x010100B1B26118DD02724484BFF77A3F429303</vt:lpwstr>
  </property>
  <property fmtid="{D5CDD505-2E9C-101B-9397-08002B2CF9AE}" pid="3" name="KSOProductBuildVer">
    <vt:lpwstr>1046-12.2.0.13306</vt:lpwstr>
  </property>
  <property fmtid="{D5CDD505-2E9C-101B-9397-08002B2CF9AE}" pid="4" name="ICV">
    <vt:lpwstr>FFA0D965B96A404FBAD1221A289E13DF_12</vt:lpwstr>
  </property>
</Properties>
</file>